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1433"/>
          <w:tab w:val="center" w:pos="42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872" w:beforeLines="600"/>
        <w:jc w:val="center"/>
        <w:textAlignment w:val="auto"/>
        <w:outlineLvl w:val="9"/>
        <w:rPr>
          <w:rFonts w:hint="eastAsia" w:ascii="仿宋" w:hAnsi="仿宋" w:eastAsia="仿宋"/>
          <w:b/>
          <w:spacing w:val="36"/>
          <w:sz w:val="80"/>
          <w:szCs w:val="80"/>
        </w:rPr>
      </w:pPr>
      <w:r>
        <w:rPr>
          <w:rFonts w:hint="eastAsia" w:ascii="仿宋" w:hAnsi="仿宋" w:eastAsia="仿宋"/>
          <w:b/>
          <w:spacing w:val="36"/>
          <w:sz w:val="80"/>
          <w:szCs w:val="80"/>
        </w:rPr>
        <w:t>监 测 报 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3" w:beforeLines="100" w:line="240" w:lineRule="auto"/>
        <w:jc w:val="center"/>
        <w:textAlignment w:val="auto"/>
        <w:outlineLvl w:val="9"/>
        <w:rPr>
          <w:rFonts w:hint="default" w:ascii="Times New Roman" w:hAnsi="Times New Roman" w:eastAsia="仿宋" w:cs="Times New Roman"/>
          <w:b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kern w:val="0"/>
          <w:sz w:val="28"/>
          <w:szCs w:val="28"/>
          <w:lang w:eastAsia="zh-CN"/>
        </w:rPr>
        <w:t>盈通（检）字HBYT11YS20190</w:t>
      </w:r>
      <w:r>
        <w:rPr>
          <w:rFonts w:hint="eastAsia" w:eastAsia="仿宋" w:cs="Times New Roman"/>
          <w:b/>
          <w:kern w:val="0"/>
          <w:sz w:val="28"/>
          <w:szCs w:val="28"/>
          <w:lang w:val="en-US" w:eastAsia="zh-CN"/>
        </w:rPr>
        <w:t>7</w:t>
      </w:r>
      <w:r>
        <w:rPr>
          <w:rFonts w:hint="eastAsia" w:ascii="Times New Roman" w:hAnsi="Times New Roman" w:eastAsia="仿宋" w:cs="Times New Roman"/>
          <w:b/>
          <w:kern w:val="0"/>
          <w:sz w:val="28"/>
          <w:szCs w:val="28"/>
          <w:lang w:eastAsia="zh-CN"/>
        </w:rPr>
        <w:t>-</w:t>
      </w:r>
      <w:r>
        <w:rPr>
          <w:rFonts w:hint="eastAsia" w:eastAsia="仿宋" w:cs="Times New Roman"/>
          <w:b/>
          <w:kern w:val="0"/>
          <w:sz w:val="28"/>
          <w:szCs w:val="28"/>
          <w:lang w:val="en-US" w:eastAsia="zh-CN"/>
        </w:rPr>
        <w:t>01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968" w:firstLineChars="700"/>
        <w:jc w:val="both"/>
        <w:textAlignment w:val="auto"/>
        <w:outlineLvl w:val="9"/>
        <w:rPr>
          <w:rFonts w:hint="eastAsia" w:ascii="仿宋" w:hAnsi="仿宋" w:eastAsia="仿宋" w:cs="Times New Roman"/>
          <w:b/>
          <w:bCs/>
          <w:kern w:val="2"/>
          <w:sz w:val="28"/>
          <w:szCs w:val="28"/>
          <w:u w:val="singl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968" w:firstLineChars="700"/>
        <w:jc w:val="both"/>
        <w:textAlignment w:val="auto"/>
        <w:outlineLvl w:val="9"/>
        <w:rPr>
          <w:rFonts w:hint="eastAsia" w:ascii="仿宋" w:hAnsi="仿宋" w:eastAsia="仿宋" w:cs="Times New Roman"/>
          <w:b/>
          <w:bCs/>
          <w:kern w:val="2"/>
          <w:sz w:val="28"/>
          <w:szCs w:val="28"/>
          <w:u w:val="singl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0" w:beforeLines="1000" w:line="360" w:lineRule="auto"/>
        <w:ind w:firstLine="2389" w:firstLineChars="850"/>
        <w:jc w:val="both"/>
        <w:textAlignment w:val="auto"/>
        <w:outlineLvl w:val="9"/>
        <w:rPr>
          <w:rFonts w:hint="default" w:ascii="仿宋" w:hAnsi="仿宋" w:eastAsia="仿宋" w:cs="仿宋"/>
          <w:b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</w:rPr>
        <w:t>项目名称</w:t>
      </w:r>
      <w:r>
        <w:rPr>
          <w:rFonts w:hint="eastAsia" w:ascii="仿宋" w:hAnsi="仿宋" w:eastAsia="仿宋"/>
          <w:b/>
          <w:sz w:val="28"/>
          <w:szCs w:val="28"/>
          <w:lang w:eastAsia="zh-CN"/>
        </w:rPr>
        <w:t>：</w:t>
      </w:r>
      <w:r>
        <w:rPr>
          <w:rFonts w:hint="eastAsia" w:ascii="仿宋" w:hAnsi="仿宋" w:eastAsia="仿宋"/>
          <w:b/>
          <w:sz w:val="28"/>
          <w:szCs w:val="28"/>
          <w:u w:val="single"/>
          <w:lang w:val="en-US" w:eastAsia="zh-CN"/>
        </w:rPr>
        <w:t xml:space="preserve">     塑料制品扩建项目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default" w:ascii="仿宋" w:hAnsi="仿宋" w:eastAsia="仿宋" w:cs="Times New Roman"/>
          <w:b/>
          <w:bCs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仿宋" w:hAnsi="仿宋" w:eastAsia="仿宋" w:cs="Times New Roman"/>
          <w:b/>
          <w:bCs/>
          <w:kern w:val="2"/>
          <w:sz w:val="28"/>
          <w:szCs w:val="28"/>
          <w:lang w:val="en-US" w:eastAsia="zh-CN" w:bidi="ar-SA"/>
        </w:rPr>
        <w:t>委托单位：</w:t>
      </w:r>
      <w:r>
        <w:rPr>
          <w:rFonts w:hint="eastAsia" w:ascii="仿宋" w:hAnsi="仿宋" w:eastAsia="仿宋" w:cs="Times New Roman"/>
          <w:b/>
          <w:bCs/>
          <w:kern w:val="2"/>
          <w:sz w:val="28"/>
          <w:szCs w:val="28"/>
          <w:u w:val="single"/>
          <w:lang w:val="en-US" w:eastAsia="zh-CN" w:bidi="ar-SA"/>
        </w:rPr>
        <w:t xml:space="preserve"> 沧州祥源塑料包装有限公司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968" w:firstLineChars="700"/>
        <w:jc w:val="both"/>
        <w:textAlignment w:val="auto"/>
        <w:outlineLvl w:val="9"/>
        <w:rPr>
          <w:rFonts w:hint="eastAsia" w:ascii="仿宋" w:hAnsi="仿宋" w:eastAsia="仿宋" w:cs="Times New Roman"/>
          <w:b/>
          <w:bCs/>
          <w:kern w:val="2"/>
          <w:sz w:val="28"/>
          <w:szCs w:val="28"/>
          <w:u w:val="single"/>
          <w:lang w:val="en-US" w:eastAsia="zh-CN" w:bidi="ar-SA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625" w:beforeLines="200" w:line="360" w:lineRule="auto"/>
        <w:jc w:val="center"/>
        <w:textAlignment w:val="auto"/>
        <w:outlineLvl w:val="9"/>
        <w:rPr>
          <w:rFonts w:hint="eastAsia" w:eastAsia="仿宋"/>
          <w:b/>
          <w:kern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  <w:u w:val="none"/>
        </w:rPr>
        <w:t>河北盈通环境检测技术服务有限公司</w:t>
      </w:r>
    </w:p>
    <w:p>
      <w:pPr>
        <w:spacing w:line="360" w:lineRule="auto"/>
        <w:jc w:val="center"/>
        <w:rPr>
          <w:rFonts w:hint="default" w:ascii="Times New Roman" w:hAnsi="Times New Roman" w:eastAsia="仿宋" w:cs="Times New Roman"/>
          <w:b/>
          <w:sz w:val="28"/>
          <w:szCs w:val="28"/>
          <w:highlight w:val="none"/>
          <w:lang w:eastAsia="zh-CN"/>
        </w:rPr>
      </w:pPr>
      <w:r>
        <w:rPr>
          <w:rFonts w:hint="default" w:ascii="Times New Roman" w:hAnsi="Times New Roman" w:eastAsia="仿宋" w:cs="Times New Roman"/>
          <w:b/>
          <w:sz w:val="28"/>
          <w:szCs w:val="28"/>
          <w:highlight w:val="none"/>
          <w:lang w:eastAsia="zh-CN"/>
        </w:rPr>
        <w:t>二〇一</w:t>
      </w:r>
      <w:r>
        <w:rPr>
          <w:rFonts w:hint="eastAsia" w:ascii="Times New Roman" w:hAnsi="Times New Roman" w:eastAsia="仿宋" w:cs="Times New Roman"/>
          <w:b/>
          <w:sz w:val="28"/>
          <w:szCs w:val="28"/>
          <w:highlight w:val="none"/>
          <w:lang w:eastAsia="zh-CN"/>
        </w:rPr>
        <w:t>九</w:t>
      </w:r>
      <w:r>
        <w:rPr>
          <w:rFonts w:hint="default" w:ascii="Times New Roman" w:hAnsi="Times New Roman" w:eastAsia="仿宋" w:cs="Times New Roman"/>
          <w:b/>
          <w:sz w:val="28"/>
          <w:szCs w:val="28"/>
          <w:highlight w:val="none"/>
          <w:lang w:eastAsia="zh-CN"/>
        </w:rPr>
        <w:t>年</w:t>
      </w:r>
      <w:r>
        <w:rPr>
          <w:rFonts w:hint="eastAsia" w:eastAsia="仿宋" w:cs="Times New Roman"/>
          <w:b/>
          <w:sz w:val="28"/>
          <w:szCs w:val="28"/>
          <w:highlight w:val="none"/>
          <w:lang w:val="en-US" w:eastAsia="zh-CN"/>
        </w:rPr>
        <w:t>七</w:t>
      </w:r>
      <w:r>
        <w:rPr>
          <w:rFonts w:hint="default" w:ascii="Times New Roman" w:hAnsi="Times New Roman" w:eastAsia="仿宋" w:cs="Times New Roman"/>
          <w:b/>
          <w:sz w:val="28"/>
          <w:szCs w:val="28"/>
          <w:highlight w:val="none"/>
          <w:lang w:eastAsia="zh-CN"/>
        </w:rPr>
        <w:t>月</w:t>
      </w:r>
      <w:r>
        <w:rPr>
          <w:rFonts w:hint="eastAsia" w:eastAsia="仿宋" w:cs="Times New Roman"/>
          <w:b/>
          <w:sz w:val="28"/>
          <w:szCs w:val="28"/>
          <w:highlight w:val="none"/>
          <w:lang w:val="en-US" w:eastAsia="zh-CN"/>
        </w:rPr>
        <w:t>十六</w:t>
      </w:r>
      <w:r>
        <w:rPr>
          <w:rFonts w:hint="default" w:ascii="Times New Roman" w:hAnsi="Times New Roman" w:eastAsia="仿宋" w:cs="Times New Roman"/>
          <w:b/>
          <w:sz w:val="28"/>
          <w:szCs w:val="28"/>
          <w:highlight w:val="none"/>
          <w:lang w:eastAsia="zh-CN"/>
        </w:rPr>
        <w:t>日</w:t>
      </w:r>
    </w:p>
    <w:p>
      <w:pPr>
        <w:jc w:val="center"/>
        <w:rPr>
          <w:rFonts w:hint="eastAsia" w:eastAsia="仿宋_GB2312"/>
          <w:b/>
          <w:sz w:val="44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1417" w:right="1134" w:bottom="1417" w:left="1134" w:header="851" w:footer="992" w:gutter="0"/>
          <w:pgNumType w:fmt="decimal"/>
          <w:cols w:space="720" w:num="1"/>
          <w:titlePg/>
          <w:rtlGutter w:val="0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280" w:firstLineChars="100"/>
        <w:jc w:val="left"/>
        <w:textAlignment w:val="auto"/>
        <w:rPr>
          <w:rFonts w:hint="eastAsia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报告编号：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盈通（检）字HBYT11YS20190</w:t>
      </w:r>
      <w:r>
        <w:rPr>
          <w:rFonts w:hint="eastAsia" w:eastAsia="仿宋" w:cs="Times New Roman"/>
          <w:sz w:val="28"/>
          <w:szCs w:val="28"/>
          <w:lang w:val="en-US" w:eastAsia="zh-CN"/>
        </w:rPr>
        <w:t>7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-</w:t>
      </w:r>
      <w:r>
        <w:rPr>
          <w:rFonts w:hint="eastAsia" w:eastAsia="仿宋" w:cs="Times New Roman"/>
          <w:sz w:val="28"/>
          <w:szCs w:val="28"/>
          <w:lang w:val="en-US" w:eastAsia="zh-CN"/>
        </w:rPr>
        <w:t>01</w:t>
      </w:r>
    </w:p>
    <w:p>
      <w:pPr>
        <w:spacing w:line="360" w:lineRule="auto"/>
        <w:ind w:firstLine="280" w:firstLineChars="100"/>
        <w:jc w:val="left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检测单位：河北盈通环境检测技术服务有限公司</w:t>
      </w:r>
    </w:p>
    <w:p>
      <w:pPr>
        <w:spacing w:line="360" w:lineRule="auto"/>
        <w:ind w:firstLine="280" w:firstLineChars="100"/>
        <w:jc w:val="left"/>
        <w:rPr>
          <w:rFonts w:hint="eastAsia" w:ascii="Times New Roman" w:hAnsi="Times New Roman" w:eastAsia="仿宋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技术负责人：</w:t>
      </w:r>
      <w:r>
        <w:rPr>
          <w:rFonts w:hint="eastAsia" w:eastAsia="仿宋" w:cs="Times New Roman"/>
          <w:sz w:val="28"/>
          <w:szCs w:val="28"/>
          <w:lang w:eastAsia="zh-CN"/>
        </w:rPr>
        <w:t>郭小娟</w:t>
      </w:r>
    </w:p>
    <w:p>
      <w:pPr>
        <w:spacing w:line="360" w:lineRule="auto"/>
        <w:ind w:firstLine="280" w:firstLineChars="100"/>
        <w:jc w:val="left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质量负责人：刘思佳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49" w:afterLines="400" w:line="360" w:lineRule="auto"/>
        <w:ind w:firstLine="280" w:firstLineChars="100"/>
        <w:jc w:val="left"/>
        <w:textAlignment w:val="auto"/>
        <w:outlineLvl w:val="9"/>
        <w:rPr>
          <w:rFonts w:hint="eastAsia" w:ascii="Times New Roman" w:hAnsi="Times New Roman" w:eastAsia="仿宋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项目负责人：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李振东</w:t>
      </w:r>
    </w:p>
    <w:p>
      <w:pPr>
        <w:spacing w:line="360" w:lineRule="auto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报告编写：</w:t>
      </w:r>
    </w:p>
    <w:p>
      <w:pPr>
        <w:spacing w:line="360" w:lineRule="auto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审    核：</w:t>
      </w:r>
    </w:p>
    <w:p>
      <w:pPr>
        <w:spacing w:line="360" w:lineRule="auto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签    发：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49" w:afterLines="400" w:line="360" w:lineRule="auto"/>
        <w:ind w:firstLine="280" w:firstLineChars="100"/>
        <w:jc w:val="left"/>
        <w:textAlignment w:val="auto"/>
        <w:outlineLvl w:val="9"/>
        <w:rPr>
          <w:rFonts w:hint="eastAsia" w:ascii="楷体" w:hAnsi="楷体" w:eastAsia="楷体" w:cs="楷体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检测人员：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刘越、刘强、侯朝珊、王晶</w:t>
      </w:r>
    </w:p>
    <w:p>
      <w:pPr>
        <w:ind w:firstLine="280" w:firstLineChars="1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sectPr>
          <w:pgSz w:w="11906" w:h="16838"/>
          <w:pgMar w:top="1417" w:right="1134" w:bottom="1417" w:left="1134" w:header="851" w:footer="992" w:gutter="0"/>
          <w:cols w:space="425" w:num="1"/>
          <w:docGrid w:type="lines" w:linePitch="312" w:charSpace="0"/>
        </w:sectPr>
      </w:pP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Chars="0"/>
        <w:textAlignment w:val="auto"/>
        <w:outlineLvl w:val="9"/>
        <w:rPr>
          <w:rFonts w:hint="default" w:ascii="Times New Roman" w:hAnsi="Times New Roman" w:eastAsia="仿宋" w:cs="Times New Roman"/>
          <w:b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  <w:lang w:eastAsia="zh-CN"/>
        </w:rPr>
        <w:t>一、</w:t>
      </w:r>
      <w:r>
        <w:rPr>
          <w:rFonts w:hint="default" w:ascii="Times New Roman" w:hAnsi="Times New Roman" w:eastAsia="仿宋" w:cs="Times New Roman"/>
          <w:b/>
          <w:sz w:val="28"/>
          <w:szCs w:val="28"/>
        </w:rPr>
        <w:t>项目概况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仿宋" w:cs="Times New Roman"/>
          <w:b/>
          <w:sz w:val="24"/>
          <w:szCs w:val="24"/>
        </w:rPr>
      </w:pP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表1 基本信息</w:t>
      </w:r>
    </w:p>
    <w:tbl>
      <w:tblPr>
        <w:tblStyle w:val="7"/>
        <w:tblW w:w="98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8"/>
        <w:gridCol w:w="3323"/>
        <w:gridCol w:w="2056"/>
        <w:gridCol w:w="27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atLeast"/>
          <w:jc w:val="center"/>
        </w:trPr>
        <w:tc>
          <w:tcPr>
            <w:tcW w:w="17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委托单位</w:t>
            </w:r>
          </w:p>
        </w:tc>
        <w:tc>
          <w:tcPr>
            <w:tcW w:w="814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right="0" w:rightChars="0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沧州祥源塑料包装有限公司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atLeast"/>
          <w:jc w:val="center"/>
        </w:trPr>
        <w:tc>
          <w:tcPr>
            <w:tcW w:w="17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项目名称</w:t>
            </w:r>
          </w:p>
        </w:tc>
        <w:tc>
          <w:tcPr>
            <w:tcW w:w="814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塑料制品扩建项目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atLeast"/>
          <w:jc w:val="center"/>
        </w:trPr>
        <w:tc>
          <w:tcPr>
            <w:tcW w:w="17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样品类别</w:t>
            </w:r>
          </w:p>
        </w:tc>
        <w:tc>
          <w:tcPr>
            <w:tcW w:w="814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废气、噪声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atLeast"/>
          <w:jc w:val="center"/>
        </w:trPr>
        <w:tc>
          <w:tcPr>
            <w:tcW w:w="17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采样日期</w:t>
            </w:r>
          </w:p>
        </w:tc>
        <w:tc>
          <w:tcPr>
            <w:tcW w:w="33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u w:val="none"/>
                <w:lang w:val="en-US" w:eastAsia="zh-CN"/>
              </w:rPr>
              <w:t>2019.0</w:t>
            </w:r>
            <w:r>
              <w:rPr>
                <w:rFonts w:hint="eastAsia" w:eastAsia="仿宋" w:cs="Times New Roman"/>
                <w:b w:val="0"/>
                <w:bCs w:val="0"/>
                <w:sz w:val="21"/>
                <w:szCs w:val="21"/>
                <w:highlight w:val="none"/>
                <w:u w:val="none"/>
                <w:lang w:val="en-US" w:eastAsia="zh-CN"/>
              </w:rPr>
              <w:t>7.03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-0</w:t>
            </w:r>
            <w:r>
              <w:rPr>
                <w:rFonts w:hint="eastAsia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7.04</w:t>
            </w:r>
          </w:p>
        </w:tc>
        <w:tc>
          <w:tcPr>
            <w:tcW w:w="20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分析日期</w:t>
            </w:r>
          </w:p>
        </w:tc>
        <w:tc>
          <w:tcPr>
            <w:tcW w:w="27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2019.0</w:t>
            </w:r>
            <w:r>
              <w:rPr>
                <w:rFonts w:hint="eastAsia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7.03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-0</w:t>
            </w:r>
            <w:r>
              <w:rPr>
                <w:rFonts w:hint="eastAsia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7.05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2" w:hRule="atLeast"/>
          <w:jc w:val="center"/>
        </w:trPr>
        <w:tc>
          <w:tcPr>
            <w:tcW w:w="17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执行标准</w:t>
            </w:r>
          </w:p>
        </w:tc>
        <w:tc>
          <w:tcPr>
            <w:tcW w:w="814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center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废气：有组织非甲烷总烃执行《工业企业挥发性有机物排放控制标准》（DB13/2322-2016）表1有机化工业大气污染排放限值同时执行《合成树脂工业污染物排放标准》（GB31572-2015）表5大气污染物特别排放限值；无组织非甲烷总烃执行《工业企业挥发性有机物排放控制标准》（DB13/2322-2016）表2企业边界大气污染物浓度限值及表3生产车间或生产设备边界大气污染物浓度限值</w:t>
            </w:r>
            <w:r>
              <w:rPr>
                <w:rFonts w:hint="eastAsia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2、噪声：厂界噪声执行《工业企业厂界环境噪声排放标准》（GB12348-2008）表1中2类标准。</w:t>
            </w:r>
          </w:p>
        </w:tc>
      </w:tr>
    </w:tbl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Chars="0"/>
        <w:textAlignment w:val="auto"/>
        <w:outlineLvl w:val="9"/>
        <w:rPr>
          <w:rFonts w:hint="default" w:ascii="Times New Roman" w:hAnsi="Times New Roman" w:eastAsia="仿宋" w:cs="Times New Roman"/>
          <w:b/>
          <w:sz w:val="28"/>
          <w:szCs w:val="28"/>
          <w:lang w:eastAsia="zh-CN"/>
        </w:rPr>
      </w:pP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Chars="0"/>
        <w:textAlignment w:val="auto"/>
        <w:outlineLvl w:val="9"/>
        <w:rPr>
          <w:rFonts w:hint="default" w:ascii="Times New Roman" w:hAnsi="Times New Roman" w:eastAsia="仿宋" w:cs="Times New Roman"/>
          <w:b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/>
          <w:sz w:val="28"/>
          <w:szCs w:val="28"/>
          <w:lang w:eastAsia="zh-CN"/>
        </w:rPr>
        <w:t>二、监测依据及仪器信息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72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仿宋" w:cs="Times New Roman"/>
          <w:b w:val="0"/>
          <w:bCs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表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  <w:t xml:space="preserve">2 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eastAsia="zh-CN"/>
        </w:rPr>
        <w:t>监测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依据及仪器信息表</w:t>
      </w:r>
    </w:p>
    <w:tbl>
      <w:tblPr>
        <w:tblStyle w:val="8"/>
        <w:tblW w:w="997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3"/>
        <w:gridCol w:w="715"/>
        <w:gridCol w:w="573"/>
        <w:gridCol w:w="872"/>
        <w:gridCol w:w="2952"/>
        <w:gridCol w:w="2055"/>
        <w:gridCol w:w="1365"/>
        <w:gridCol w:w="9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监测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类别</w:t>
            </w:r>
          </w:p>
        </w:tc>
        <w:tc>
          <w:tcPr>
            <w:tcW w:w="14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监测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分析方法及国标代号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监测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仪器名称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仪器编号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检出限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4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71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废气</w:t>
            </w:r>
          </w:p>
        </w:tc>
        <w:tc>
          <w:tcPr>
            <w:tcW w:w="57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有组织</w:t>
            </w:r>
          </w:p>
        </w:tc>
        <w:tc>
          <w:tcPr>
            <w:tcW w:w="87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非甲烷总烃</w:t>
            </w:r>
          </w:p>
        </w:tc>
        <w:tc>
          <w:tcPr>
            <w:tcW w:w="295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《固定污染源废气 总烃、甲烷和非甲烷总烃的测定 气相色谱法》HJ 38-2017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eastAsia="zh-CN"/>
              </w:rPr>
              <w:t>采气袋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9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shd w:val="clear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shd w:val="clear"/>
                <w:lang w:val="en-US" w:eastAsia="zh-CN"/>
              </w:rPr>
              <w:t>0.07</w:t>
            </w:r>
          </w:p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shd w:val="clear"/>
              </w:rPr>
              <w:t>mg/m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shd w:val="clear"/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4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</w:p>
        </w:tc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</w:p>
        </w:tc>
        <w:tc>
          <w:tcPr>
            <w:tcW w:w="5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</w:p>
        </w:tc>
        <w:tc>
          <w:tcPr>
            <w:tcW w:w="8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</w:p>
        </w:tc>
        <w:tc>
          <w:tcPr>
            <w:tcW w:w="295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自动烟尘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（气）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测试仪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TW-3200</w:t>
            </w:r>
          </w:p>
        </w:tc>
        <w:tc>
          <w:tcPr>
            <w:tcW w:w="13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固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YC11051</w:t>
            </w:r>
          </w:p>
        </w:tc>
        <w:tc>
          <w:tcPr>
            <w:tcW w:w="9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4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</w:p>
        </w:tc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</w:p>
        </w:tc>
        <w:tc>
          <w:tcPr>
            <w:tcW w:w="5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</w:p>
        </w:tc>
        <w:tc>
          <w:tcPr>
            <w:tcW w:w="8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</w:p>
        </w:tc>
        <w:tc>
          <w:tcPr>
            <w:tcW w:w="295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eastAsia="zh-CN"/>
              </w:rPr>
              <w:t>福立气相色谱仪</w:t>
            </w: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GC9790Ⅱ</w:t>
            </w:r>
          </w:p>
        </w:tc>
        <w:tc>
          <w:tcPr>
            <w:tcW w:w="13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</w:rPr>
              <w:t>固</w:t>
            </w: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QX20601</w:t>
            </w:r>
          </w:p>
        </w:tc>
        <w:tc>
          <w:tcPr>
            <w:tcW w:w="9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49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73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无组织</w:t>
            </w:r>
          </w:p>
        </w:tc>
        <w:tc>
          <w:tcPr>
            <w:tcW w:w="87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非甲烷总烃</w:t>
            </w:r>
          </w:p>
        </w:tc>
        <w:tc>
          <w:tcPr>
            <w:tcW w:w="295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《空气和废气监测分析方法》（第四版）（增补版）6.1.5.1气相色谱法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轻便三杯风向风速表</w:t>
            </w: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DEM6</w:t>
            </w:r>
          </w:p>
        </w:tc>
        <w:tc>
          <w:tcPr>
            <w:tcW w:w="13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固FX110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42</w:t>
            </w:r>
          </w:p>
        </w:tc>
        <w:tc>
          <w:tcPr>
            <w:tcW w:w="9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  <w:t>0.2ng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4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7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95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空盒气压表</w:t>
            </w: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DYM3</w:t>
            </w:r>
          </w:p>
        </w:tc>
        <w:tc>
          <w:tcPr>
            <w:tcW w:w="13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固KH110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44</w:t>
            </w:r>
          </w:p>
        </w:tc>
        <w:tc>
          <w:tcPr>
            <w:tcW w:w="9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4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7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95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采气袋</w:t>
            </w:r>
          </w:p>
        </w:tc>
        <w:tc>
          <w:tcPr>
            <w:tcW w:w="13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9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4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7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95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eastAsia="zh-CN"/>
              </w:rPr>
              <w:t>福立气相色谱仪</w:t>
            </w: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GC9790Ⅱ</w:t>
            </w:r>
          </w:p>
        </w:tc>
        <w:tc>
          <w:tcPr>
            <w:tcW w:w="13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</w:rPr>
              <w:t>固</w:t>
            </w: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QX21503</w:t>
            </w:r>
          </w:p>
        </w:tc>
        <w:tc>
          <w:tcPr>
            <w:tcW w:w="9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49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71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噪声</w:t>
            </w:r>
          </w:p>
        </w:tc>
        <w:tc>
          <w:tcPr>
            <w:tcW w:w="1445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厂界噪声</w:t>
            </w:r>
          </w:p>
        </w:tc>
        <w:tc>
          <w:tcPr>
            <w:tcW w:w="295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《工业企业厂界环境噪声排放标准》GB 12348-2008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eastAsia="zh-CN"/>
              </w:rPr>
              <w:t>多功能声级计AWA5688</w:t>
            </w:r>
          </w:p>
        </w:tc>
        <w:tc>
          <w:tcPr>
            <w:tcW w:w="13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固SJ11040</w:t>
            </w:r>
          </w:p>
        </w:tc>
        <w:tc>
          <w:tcPr>
            <w:tcW w:w="9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4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</w:p>
        </w:tc>
        <w:tc>
          <w:tcPr>
            <w:tcW w:w="144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95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eastAsia="zh-CN"/>
              </w:rPr>
              <w:t>声校准器AWA6221B</w:t>
            </w:r>
          </w:p>
        </w:tc>
        <w:tc>
          <w:tcPr>
            <w:tcW w:w="13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固SJ11023</w:t>
            </w:r>
          </w:p>
        </w:tc>
        <w:tc>
          <w:tcPr>
            <w:tcW w:w="9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</w:tbl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72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仿宋" w:cs="Times New Roman"/>
          <w:b w:val="0"/>
          <w:bCs/>
          <w:sz w:val="28"/>
          <w:szCs w:val="28"/>
          <w:highlight w:val="none"/>
        </w:rPr>
      </w:pP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eastAsia="仿宋" w:cs="Times New Roman"/>
          <w:b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/>
          <w:sz w:val="28"/>
          <w:szCs w:val="28"/>
          <w:lang w:eastAsia="zh-CN"/>
        </w:rPr>
        <w:t>三、采样及样品信息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根据本项目特点及周围环境特征，具体采样及样品信息见表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eastAsia="zh-CN"/>
        </w:rPr>
        <w:t>。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表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  <w:t xml:space="preserve">3 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采样及样品信息表</w:t>
      </w:r>
    </w:p>
    <w:tbl>
      <w:tblPr>
        <w:tblStyle w:val="8"/>
        <w:tblpPr w:leftFromText="181" w:rightFromText="181" w:vertAnchor="text" w:horzAnchor="page" w:tblpX="1175" w:tblpY="1"/>
        <w:tblOverlap w:val="never"/>
        <w:tblW w:w="10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5"/>
        <w:gridCol w:w="1276"/>
        <w:gridCol w:w="1945"/>
        <w:gridCol w:w="1574"/>
        <w:gridCol w:w="1779"/>
        <w:gridCol w:w="2351"/>
        <w:gridCol w:w="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545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2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监测类别</w:t>
            </w:r>
          </w:p>
        </w:tc>
        <w:tc>
          <w:tcPr>
            <w:tcW w:w="1945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监测点位名称</w:t>
            </w:r>
          </w:p>
        </w:tc>
        <w:tc>
          <w:tcPr>
            <w:tcW w:w="157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监测因子</w:t>
            </w:r>
          </w:p>
        </w:tc>
        <w:tc>
          <w:tcPr>
            <w:tcW w:w="1779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监测频次</w:t>
            </w:r>
          </w:p>
        </w:tc>
        <w:tc>
          <w:tcPr>
            <w:tcW w:w="235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采样现场及样品描述</w:t>
            </w:r>
          </w:p>
        </w:tc>
        <w:tc>
          <w:tcPr>
            <w:tcW w:w="5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545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有组织废气</w:t>
            </w:r>
          </w:p>
        </w:tc>
        <w:tc>
          <w:tcPr>
            <w:tcW w:w="19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 w:bidi="ar-SA"/>
              </w:rPr>
              <w:t>加热融化工序处理设施前进口</w:t>
            </w:r>
          </w:p>
        </w:tc>
        <w:tc>
          <w:tcPr>
            <w:tcW w:w="157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非甲烷总烃</w:t>
            </w:r>
          </w:p>
        </w:tc>
        <w:tc>
          <w:tcPr>
            <w:tcW w:w="1779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监测2天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，每天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3次</w:t>
            </w:r>
          </w:p>
        </w:tc>
        <w:tc>
          <w:tcPr>
            <w:tcW w:w="235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采气袋完好，无破损</w:t>
            </w:r>
          </w:p>
        </w:tc>
        <w:tc>
          <w:tcPr>
            <w:tcW w:w="5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545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 w:bidi="ar-SA"/>
              </w:rPr>
              <w:t>加热融化工序排气筒出口</w:t>
            </w:r>
          </w:p>
        </w:tc>
        <w:tc>
          <w:tcPr>
            <w:tcW w:w="157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非甲烷总烃</w:t>
            </w:r>
          </w:p>
        </w:tc>
        <w:tc>
          <w:tcPr>
            <w:tcW w:w="1779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监测2天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，每天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3次</w:t>
            </w:r>
          </w:p>
        </w:tc>
        <w:tc>
          <w:tcPr>
            <w:tcW w:w="23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采气袋完好，无破损</w:t>
            </w:r>
          </w:p>
        </w:tc>
        <w:tc>
          <w:tcPr>
            <w:tcW w:w="5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545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无组织废气</w:t>
            </w:r>
          </w:p>
        </w:tc>
        <w:tc>
          <w:tcPr>
            <w:tcW w:w="1945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参照点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○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#</w:t>
            </w:r>
          </w:p>
        </w:tc>
        <w:tc>
          <w:tcPr>
            <w:tcW w:w="1574" w:type="dxa"/>
            <w:vMerge w:val="restart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非甲烷总烃</w:t>
            </w:r>
          </w:p>
        </w:tc>
        <w:tc>
          <w:tcPr>
            <w:tcW w:w="1779" w:type="dxa"/>
            <w:vMerge w:val="restart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监测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2天，每天3次</w:t>
            </w:r>
          </w:p>
        </w:tc>
        <w:tc>
          <w:tcPr>
            <w:tcW w:w="2351" w:type="dxa"/>
            <w:vMerge w:val="restart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采气袋完好，无破损</w:t>
            </w:r>
          </w:p>
        </w:tc>
        <w:tc>
          <w:tcPr>
            <w:tcW w:w="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545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45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监控点○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#</w:t>
            </w:r>
          </w:p>
        </w:tc>
        <w:tc>
          <w:tcPr>
            <w:tcW w:w="1574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79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</w:p>
        </w:tc>
        <w:tc>
          <w:tcPr>
            <w:tcW w:w="2351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545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45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监控点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○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#</w:t>
            </w:r>
          </w:p>
        </w:tc>
        <w:tc>
          <w:tcPr>
            <w:tcW w:w="1574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79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</w:p>
        </w:tc>
        <w:tc>
          <w:tcPr>
            <w:tcW w:w="2351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545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45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监控点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○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#</w:t>
            </w:r>
          </w:p>
        </w:tc>
        <w:tc>
          <w:tcPr>
            <w:tcW w:w="1574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79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</w:p>
        </w:tc>
        <w:tc>
          <w:tcPr>
            <w:tcW w:w="2351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545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45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车间外1点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○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#</w:t>
            </w:r>
          </w:p>
        </w:tc>
        <w:tc>
          <w:tcPr>
            <w:tcW w:w="157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非甲烷总烃</w:t>
            </w:r>
          </w:p>
        </w:tc>
        <w:tc>
          <w:tcPr>
            <w:tcW w:w="1779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监测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2天，每天3次</w:t>
            </w:r>
          </w:p>
        </w:tc>
        <w:tc>
          <w:tcPr>
            <w:tcW w:w="235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采气袋完好，无破损</w:t>
            </w:r>
          </w:p>
        </w:tc>
        <w:tc>
          <w:tcPr>
            <w:tcW w:w="5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545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噪声</w:t>
            </w:r>
          </w:p>
        </w:tc>
        <w:tc>
          <w:tcPr>
            <w:tcW w:w="1945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东厂界▲1#</w:t>
            </w:r>
          </w:p>
        </w:tc>
        <w:tc>
          <w:tcPr>
            <w:tcW w:w="1574" w:type="dxa"/>
            <w:vMerge w:val="restart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噪声</w:t>
            </w:r>
          </w:p>
        </w:tc>
        <w:tc>
          <w:tcPr>
            <w:tcW w:w="1779" w:type="dxa"/>
            <w:vMerge w:val="restart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监测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2天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昼夜各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监测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次</w:t>
            </w:r>
          </w:p>
        </w:tc>
        <w:tc>
          <w:tcPr>
            <w:tcW w:w="2351" w:type="dxa"/>
            <w:vMerge w:val="restart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生产设备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噪声</w:t>
            </w:r>
          </w:p>
        </w:tc>
        <w:tc>
          <w:tcPr>
            <w:tcW w:w="530" w:type="dxa"/>
            <w:vMerge w:val="restart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545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</w:p>
        </w:tc>
        <w:tc>
          <w:tcPr>
            <w:tcW w:w="1945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南厂界▲2#</w:t>
            </w:r>
          </w:p>
        </w:tc>
        <w:tc>
          <w:tcPr>
            <w:tcW w:w="1574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79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351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530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545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45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西厂界▲3#</w:t>
            </w:r>
          </w:p>
        </w:tc>
        <w:tc>
          <w:tcPr>
            <w:tcW w:w="1574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79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351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530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</w:trPr>
        <w:tc>
          <w:tcPr>
            <w:tcW w:w="545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45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北厂界▲4#</w:t>
            </w:r>
          </w:p>
        </w:tc>
        <w:tc>
          <w:tcPr>
            <w:tcW w:w="1574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79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351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530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</w:tr>
    </w:tbl>
    <w:p>
      <w:pPr>
        <w:pStyle w:val="10"/>
        <w:numPr>
          <w:ilvl w:val="0"/>
          <w:numId w:val="0"/>
        </w:numPr>
        <w:spacing w:after="0" w:line="240" w:lineRule="auto"/>
        <w:jc w:val="both"/>
        <w:rPr>
          <w:rFonts w:hint="default" w:ascii="Times New Roman" w:hAnsi="Times New Roman" w:eastAsia="仿宋" w:cs="Times New Roman"/>
          <w:b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/>
          <w:sz w:val="28"/>
          <w:szCs w:val="28"/>
          <w:lang w:eastAsia="zh-CN"/>
        </w:rPr>
        <w:t>四、监测结果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firstLine="560" w:firstLineChars="200"/>
        <w:jc w:val="left"/>
        <w:textAlignment w:val="auto"/>
        <w:rPr>
          <w:rFonts w:hint="default" w:ascii="Times New Roman" w:hAnsi="Times New Roman" w:eastAsia="仿宋" w:cs="Times New Roman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1、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</w:rPr>
        <w:t>废气</w:t>
      </w:r>
    </w:p>
    <w:p>
      <w:pPr>
        <w:pStyle w:val="10"/>
        <w:spacing w:after="0" w:line="240" w:lineRule="auto"/>
        <w:ind w:firstLine="0" w:firstLineChars="0"/>
        <w:jc w:val="center"/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eastAsia="zh-CN"/>
        </w:rPr>
        <w:t>表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4有组织废气监测结果</w:t>
      </w:r>
    </w:p>
    <w:tbl>
      <w:tblPr>
        <w:tblStyle w:val="8"/>
        <w:tblpPr w:leftFromText="181" w:rightFromText="181" w:vertAnchor="text" w:horzAnchor="page" w:tblpXSpec="center" w:tblpY="1"/>
        <w:tblOverlap w:val="never"/>
        <w:tblW w:w="101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8"/>
        <w:gridCol w:w="758"/>
        <w:gridCol w:w="1143"/>
        <w:gridCol w:w="923"/>
        <w:gridCol w:w="915"/>
        <w:gridCol w:w="915"/>
        <w:gridCol w:w="914"/>
        <w:gridCol w:w="916"/>
        <w:gridCol w:w="1768"/>
        <w:gridCol w:w="6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21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eastAsia="zh-CN"/>
              </w:rPr>
              <w:t>监测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点位及时间</w:t>
            </w:r>
          </w:p>
        </w:tc>
        <w:tc>
          <w:tcPr>
            <w:tcW w:w="1901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92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单位</w:t>
            </w:r>
          </w:p>
        </w:tc>
        <w:tc>
          <w:tcPr>
            <w:tcW w:w="366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eastAsia="zh-CN"/>
              </w:rPr>
              <w:t>监测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结果</w:t>
            </w:r>
          </w:p>
        </w:tc>
        <w:tc>
          <w:tcPr>
            <w:tcW w:w="176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执行标准号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及标准值</w:t>
            </w:r>
          </w:p>
        </w:tc>
        <w:tc>
          <w:tcPr>
            <w:tcW w:w="65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达标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01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eastAsia="zh-CN"/>
              </w:rPr>
              <w:t>均值</w:t>
            </w:r>
          </w:p>
        </w:tc>
        <w:tc>
          <w:tcPr>
            <w:tcW w:w="17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5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21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加热融化工序处理设施前进口2019.07.03</w:t>
            </w:r>
          </w:p>
        </w:tc>
        <w:tc>
          <w:tcPr>
            <w:tcW w:w="190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标干排气量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m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/h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3331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3598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3727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3552 </w:t>
            </w:r>
          </w:p>
        </w:tc>
        <w:tc>
          <w:tcPr>
            <w:tcW w:w="17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5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非甲烷总烃</w:t>
            </w: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实测浓度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mg/m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9.93 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9.87 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9.38 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9.73 </w:t>
            </w:r>
          </w:p>
        </w:tc>
        <w:tc>
          <w:tcPr>
            <w:tcW w:w="17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排放速率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k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g/h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0.033 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0.036 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0.035 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0.035 </w:t>
            </w:r>
          </w:p>
        </w:tc>
        <w:tc>
          <w:tcPr>
            <w:tcW w:w="17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21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加热融化工序处理设施前进口2019.07.04</w:t>
            </w:r>
          </w:p>
        </w:tc>
        <w:tc>
          <w:tcPr>
            <w:tcW w:w="190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标干排气量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m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/h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3461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3183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3838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3494 </w:t>
            </w:r>
          </w:p>
        </w:tc>
        <w:tc>
          <w:tcPr>
            <w:tcW w:w="17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5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非甲烷总烃</w:t>
            </w: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实测浓度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mg/m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9.76 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9.62 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10.3 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9.89 </w:t>
            </w:r>
          </w:p>
        </w:tc>
        <w:tc>
          <w:tcPr>
            <w:tcW w:w="17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排放速率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k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g/h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0.034 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0.031 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0.040 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0.035 </w:t>
            </w:r>
          </w:p>
        </w:tc>
        <w:tc>
          <w:tcPr>
            <w:tcW w:w="17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21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加热融化工序排气筒出口（15m）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2019.07.03</w:t>
            </w:r>
          </w:p>
        </w:tc>
        <w:tc>
          <w:tcPr>
            <w:tcW w:w="190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标干排气量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m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/h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3733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3899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3780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3804 </w:t>
            </w:r>
          </w:p>
        </w:tc>
        <w:tc>
          <w:tcPr>
            <w:tcW w:w="17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</w:p>
        </w:tc>
        <w:tc>
          <w:tcPr>
            <w:tcW w:w="75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非甲烷总烃</w:t>
            </w: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实测浓度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mg/m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2.18 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2.34 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2.29 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2.27 </w:t>
            </w:r>
          </w:p>
        </w:tc>
        <w:tc>
          <w:tcPr>
            <w:tcW w:w="17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GB31572-2015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≤60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排放速率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k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g/h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0.008 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0.009 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0.009 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0.009 </w:t>
            </w:r>
          </w:p>
        </w:tc>
        <w:tc>
          <w:tcPr>
            <w:tcW w:w="17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去除效率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75.4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74.3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75.2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75.0</w:t>
            </w:r>
          </w:p>
        </w:tc>
        <w:tc>
          <w:tcPr>
            <w:tcW w:w="17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DB13/2322-2016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≥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90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21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加热融化工序排气筒出口（15m）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2019.07.04</w:t>
            </w:r>
          </w:p>
        </w:tc>
        <w:tc>
          <w:tcPr>
            <w:tcW w:w="190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标干排气量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m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/h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3939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3677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3798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3805 </w:t>
            </w:r>
          </w:p>
        </w:tc>
        <w:tc>
          <w:tcPr>
            <w:tcW w:w="17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</w:p>
        </w:tc>
        <w:tc>
          <w:tcPr>
            <w:tcW w:w="75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非甲烷总烃</w:t>
            </w: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实测浓度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mg/m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2.43 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2.39 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2.44 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2.42 </w:t>
            </w:r>
          </w:p>
        </w:tc>
        <w:tc>
          <w:tcPr>
            <w:tcW w:w="17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GB31572-2015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≤60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排放速率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k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g/h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0.010 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0.009 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0.009 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0.009 </w:t>
            </w:r>
          </w:p>
        </w:tc>
        <w:tc>
          <w:tcPr>
            <w:tcW w:w="17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去除效率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71.7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71.3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76.6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73.4</w:t>
            </w:r>
          </w:p>
        </w:tc>
        <w:tc>
          <w:tcPr>
            <w:tcW w:w="17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DB13/2322-2016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≥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90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备注</w:t>
            </w:r>
          </w:p>
        </w:tc>
        <w:tc>
          <w:tcPr>
            <w:tcW w:w="8902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*非甲烷总烃去除效率未达到相应标准要求，故加设生产车间外监控点。</w:t>
            </w:r>
          </w:p>
        </w:tc>
      </w:tr>
    </w:tbl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仿宋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表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无组织废气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</w:rPr>
        <w:t>监测结果</w:t>
      </w:r>
    </w:p>
    <w:tbl>
      <w:tblPr>
        <w:tblStyle w:val="8"/>
        <w:tblW w:w="98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1168"/>
        <w:gridCol w:w="854"/>
        <w:gridCol w:w="839"/>
        <w:gridCol w:w="814"/>
        <w:gridCol w:w="814"/>
        <w:gridCol w:w="814"/>
        <w:gridCol w:w="898"/>
        <w:gridCol w:w="2270"/>
        <w:gridCol w:w="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72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监测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时间</w:t>
            </w:r>
          </w:p>
        </w:tc>
        <w:tc>
          <w:tcPr>
            <w:tcW w:w="116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监测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点位</w:t>
            </w:r>
          </w:p>
        </w:tc>
        <w:tc>
          <w:tcPr>
            <w:tcW w:w="85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监测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项目</w:t>
            </w:r>
          </w:p>
        </w:tc>
        <w:tc>
          <w:tcPr>
            <w:tcW w:w="83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单位</w:t>
            </w:r>
          </w:p>
        </w:tc>
        <w:tc>
          <w:tcPr>
            <w:tcW w:w="334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监测结果</w:t>
            </w:r>
          </w:p>
        </w:tc>
        <w:tc>
          <w:tcPr>
            <w:tcW w:w="22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执行标准号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及标准值</w:t>
            </w:r>
          </w:p>
        </w:tc>
        <w:tc>
          <w:tcPr>
            <w:tcW w:w="64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达标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2" w:hRule="atLeast"/>
        </w:trPr>
        <w:tc>
          <w:tcPr>
            <w:tcW w:w="72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3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898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eastAsia="zh-CN"/>
              </w:rPr>
              <w:t>周界外浓度最高值</w:t>
            </w:r>
          </w:p>
        </w:tc>
        <w:tc>
          <w:tcPr>
            <w:tcW w:w="2270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DB13/2322-2016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表2企业边界大气污物浓度限值及表3生产车间或生产设备边界大气污染物浓度限值</w:t>
            </w:r>
          </w:p>
        </w:tc>
        <w:tc>
          <w:tcPr>
            <w:tcW w:w="64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729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2019.07.03</w:t>
            </w:r>
          </w:p>
        </w:tc>
        <w:tc>
          <w:tcPr>
            <w:tcW w:w="1168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  <w:t>上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风向1#</w:t>
            </w:r>
          </w:p>
        </w:tc>
        <w:tc>
          <w:tcPr>
            <w:tcW w:w="854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非甲烷总烃</w:t>
            </w:r>
          </w:p>
        </w:tc>
        <w:tc>
          <w:tcPr>
            <w:tcW w:w="83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mg/m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vertAlign w:val="superscript"/>
                <w:lang w:val="en-US" w:eastAsia="zh-CN"/>
              </w:rPr>
              <w:t>3</w:t>
            </w:r>
          </w:p>
        </w:tc>
        <w:tc>
          <w:tcPr>
            <w:tcW w:w="81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0.80</w:t>
            </w:r>
          </w:p>
        </w:tc>
        <w:tc>
          <w:tcPr>
            <w:tcW w:w="81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0.86</w:t>
            </w:r>
          </w:p>
        </w:tc>
        <w:tc>
          <w:tcPr>
            <w:tcW w:w="81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0.85</w:t>
            </w:r>
          </w:p>
        </w:tc>
        <w:tc>
          <w:tcPr>
            <w:tcW w:w="898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1.08</w:t>
            </w:r>
          </w:p>
        </w:tc>
        <w:tc>
          <w:tcPr>
            <w:tcW w:w="2270" w:type="dxa"/>
            <w:vMerge w:val="restart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≤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2.0</w:t>
            </w:r>
          </w:p>
        </w:tc>
        <w:tc>
          <w:tcPr>
            <w:tcW w:w="640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729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168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下风向2#</w:t>
            </w:r>
          </w:p>
        </w:tc>
        <w:tc>
          <w:tcPr>
            <w:tcW w:w="854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</w:p>
        </w:tc>
        <w:tc>
          <w:tcPr>
            <w:tcW w:w="83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81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1.08</w:t>
            </w:r>
          </w:p>
        </w:tc>
        <w:tc>
          <w:tcPr>
            <w:tcW w:w="81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1.02</w:t>
            </w:r>
          </w:p>
        </w:tc>
        <w:tc>
          <w:tcPr>
            <w:tcW w:w="81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1.04</w:t>
            </w:r>
          </w:p>
        </w:tc>
        <w:tc>
          <w:tcPr>
            <w:tcW w:w="898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</w:p>
        </w:tc>
        <w:tc>
          <w:tcPr>
            <w:tcW w:w="2270" w:type="dxa"/>
            <w:vMerge w:val="continue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仿宋" w:cs="Times New Roman"/>
              </w:rPr>
            </w:pPr>
          </w:p>
        </w:tc>
        <w:tc>
          <w:tcPr>
            <w:tcW w:w="640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729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0</w:t>
            </w:r>
          </w:p>
        </w:tc>
        <w:tc>
          <w:tcPr>
            <w:tcW w:w="1168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下风向3#</w:t>
            </w:r>
          </w:p>
        </w:tc>
        <w:tc>
          <w:tcPr>
            <w:tcW w:w="854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</w:p>
        </w:tc>
        <w:tc>
          <w:tcPr>
            <w:tcW w:w="83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81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1.00</w:t>
            </w:r>
          </w:p>
        </w:tc>
        <w:tc>
          <w:tcPr>
            <w:tcW w:w="81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1.01</w:t>
            </w:r>
          </w:p>
        </w:tc>
        <w:tc>
          <w:tcPr>
            <w:tcW w:w="81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1.07</w:t>
            </w:r>
          </w:p>
        </w:tc>
        <w:tc>
          <w:tcPr>
            <w:tcW w:w="898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</w:p>
        </w:tc>
        <w:tc>
          <w:tcPr>
            <w:tcW w:w="2270" w:type="dxa"/>
            <w:vMerge w:val="continue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仿宋" w:cs="Times New Roman"/>
              </w:rPr>
            </w:pPr>
          </w:p>
        </w:tc>
        <w:tc>
          <w:tcPr>
            <w:tcW w:w="640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729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168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下风向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#</w:t>
            </w:r>
          </w:p>
        </w:tc>
        <w:tc>
          <w:tcPr>
            <w:tcW w:w="854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</w:p>
        </w:tc>
        <w:tc>
          <w:tcPr>
            <w:tcW w:w="83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81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1.04</w:t>
            </w:r>
          </w:p>
        </w:tc>
        <w:tc>
          <w:tcPr>
            <w:tcW w:w="81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1.03</w:t>
            </w:r>
          </w:p>
        </w:tc>
        <w:tc>
          <w:tcPr>
            <w:tcW w:w="81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1.02</w:t>
            </w:r>
          </w:p>
        </w:tc>
        <w:tc>
          <w:tcPr>
            <w:tcW w:w="898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</w:p>
        </w:tc>
        <w:tc>
          <w:tcPr>
            <w:tcW w:w="2270" w:type="dxa"/>
            <w:vMerge w:val="continue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仿宋" w:cs="Times New Roman"/>
              </w:rPr>
            </w:pPr>
          </w:p>
        </w:tc>
        <w:tc>
          <w:tcPr>
            <w:tcW w:w="640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729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2019.07.04</w:t>
            </w:r>
          </w:p>
        </w:tc>
        <w:tc>
          <w:tcPr>
            <w:tcW w:w="1168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  <w:t>上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风向1#</w:t>
            </w:r>
          </w:p>
        </w:tc>
        <w:tc>
          <w:tcPr>
            <w:tcW w:w="854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非甲烷总烃</w:t>
            </w:r>
          </w:p>
        </w:tc>
        <w:tc>
          <w:tcPr>
            <w:tcW w:w="83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81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0.88</w:t>
            </w:r>
          </w:p>
        </w:tc>
        <w:tc>
          <w:tcPr>
            <w:tcW w:w="81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0.87</w:t>
            </w:r>
          </w:p>
        </w:tc>
        <w:tc>
          <w:tcPr>
            <w:tcW w:w="81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0.81</w:t>
            </w:r>
          </w:p>
        </w:tc>
        <w:tc>
          <w:tcPr>
            <w:tcW w:w="898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1.09</w:t>
            </w:r>
          </w:p>
        </w:tc>
        <w:tc>
          <w:tcPr>
            <w:tcW w:w="2270" w:type="dxa"/>
            <w:vMerge w:val="restart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≤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2.0</w:t>
            </w:r>
          </w:p>
        </w:tc>
        <w:tc>
          <w:tcPr>
            <w:tcW w:w="640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729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168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下风向2#</w:t>
            </w:r>
          </w:p>
        </w:tc>
        <w:tc>
          <w:tcPr>
            <w:tcW w:w="854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</w:p>
        </w:tc>
        <w:tc>
          <w:tcPr>
            <w:tcW w:w="83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814" w:type="dxa"/>
            <w:vAlign w:val="center"/>
          </w:tcPr>
          <w:p>
            <w:pPr>
              <w:tabs>
                <w:tab w:val="left" w:pos="272"/>
              </w:tabs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1.06</w:t>
            </w:r>
          </w:p>
        </w:tc>
        <w:tc>
          <w:tcPr>
            <w:tcW w:w="81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1.03</w:t>
            </w:r>
          </w:p>
        </w:tc>
        <w:tc>
          <w:tcPr>
            <w:tcW w:w="81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1.05</w:t>
            </w:r>
          </w:p>
        </w:tc>
        <w:tc>
          <w:tcPr>
            <w:tcW w:w="898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</w:p>
        </w:tc>
        <w:tc>
          <w:tcPr>
            <w:tcW w:w="2270" w:type="dxa"/>
            <w:vMerge w:val="continue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仿宋" w:cs="Times New Roman"/>
              </w:rPr>
            </w:pPr>
          </w:p>
        </w:tc>
        <w:tc>
          <w:tcPr>
            <w:tcW w:w="640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729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168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下风向3#</w:t>
            </w:r>
          </w:p>
        </w:tc>
        <w:tc>
          <w:tcPr>
            <w:tcW w:w="854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</w:p>
        </w:tc>
        <w:tc>
          <w:tcPr>
            <w:tcW w:w="83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mg/m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vertAlign w:val="superscript"/>
                <w:lang w:val="en-US" w:eastAsia="zh-CN"/>
              </w:rPr>
              <w:t>3</w:t>
            </w:r>
          </w:p>
        </w:tc>
        <w:tc>
          <w:tcPr>
            <w:tcW w:w="81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1.09</w:t>
            </w:r>
          </w:p>
        </w:tc>
        <w:tc>
          <w:tcPr>
            <w:tcW w:w="81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1.00</w:t>
            </w:r>
          </w:p>
        </w:tc>
        <w:tc>
          <w:tcPr>
            <w:tcW w:w="81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1.08</w:t>
            </w:r>
          </w:p>
        </w:tc>
        <w:tc>
          <w:tcPr>
            <w:tcW w:w="898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</w:p>
        </w:tc>
        <w:tc>
          <w:tcPr>
            <w:tcW w:w="2270" w:type="dxa"/>
            <w:vMerge w:val="continue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仿宋" w:cs="Times New Roman"/>
              </w:rPr>
            </w:pPr>
          </w:p>
        </w:tc>
        <w:tc>
          <w:tcPr>
            <w:tcW w:w="640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729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168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下风向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#</w:t>
            </w:r>
          </w:p>
        </w:tc>
        <w:tc>
          <w:tcPr>
            <w:tcW w:w="854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</w:p>
        </w:tc>
        <w:tc>
          <w:tcPr>
            <w:tcW w:w="83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mg/m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vertAlign w:val="superscript"/>
                <w:lang w:val="en-US" w:eastAsia="zh-CN"/>
              </w:rPr>
              <w:t>3</w:t>
            </w:r>
          </w:p>
        </w:tc>
        <w:tc>
          <w:tcPr>
            <w:tcW w:w="81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1.06</w:t>
            </w:r>
          </w:p>
        </w:tc>
        <w:tc>
          <w:tcPr>
            <w:tcW w:w="81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1.01</w:t>
            </w:r>
          </w:p>
        </w:tc>
        <w:tc>
          <w:tcPr>
            <w:tcW w:w="81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1.05</w:t>
            </w:r>
          </w:p>
        </w:tc>
        <w:tc>
          <w:tcPr>
            <w:tcW w:w="898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</w:p>
        </w:tc>
        <w:tc>
          <w:tcPr>
            <w:tcW w:w="2270" w:type="dxa"/>
            <w:vMerge w:val="continue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仿宋" w:cs="Times New Roman"/>
              </w:rPr>
            </w:pPr>
          </w:p>
        </w:tc>
        <w:tc>
          <w:tcPr>
            <w:tcW w:w="640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72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2019.07.03</w:t>
            </w:r>
          </w:p>
        </w:tc>
        <w:tc>
          <w:tcPr>
            <w:tcW w:w="11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  <w:t>车间外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1点5#</w:t>
            </w:r>
          </w:p>
        </w:tc>
        <w:tc>
          <w:tcPr>
            <w:tcW w:w="8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  <w:t>非甲烷总烃</w:t>
            </w:r>
          </w:p>
        </w:tc>
        <w:tc>
          <w:tcPr>
            <w:tcW w:w="83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1.53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1.51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1.57</w:t>
            </w:r>
          </w:p>
        </w:tc>
        <w:tc>
          <w:tcPr>
            <w:tcW w:w="89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1.57</w:t>
            </w:r>
          </w:p>
        </w:tc>
        <w:tc>
          <w:tcPr>
            <w:tcW w:w="22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≤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4.0</w:t>
            </w:r>
          </w:p>
        </w:tc>
        <w:tc>
          <w:tcPr>
            <w:tcW w:w="6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72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2019.07.04</w:t>
            </w:r>
          </w:p>
        </w:tc>
        <w:tc>
          <w:tcPr>
            <w:tcW w:w="11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  <w:t>车间外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1点5#</w:t>
            </w:r>
          </w:p>
        </w:tc>
        <w:tc>
          <w:tcPr>
            <w:tcW w:w="8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  <w:t>非甲烷总烃</w:t>
            </w:r>
          </w:p>
        </w:tc>
        <w:tc>
          <w:tcPr>
            <w:tcW w:w="83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1.54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1.55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1.52</w:t>
            </w:r>
          </w:p>
        </w:tc>
        <w:tc>
          <w:tcPr>
            <w:tcW w:w="89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1.55</w:t>
            </w:r>
          </w:p>
        </w:tc>
        <w:tc>
          <w:tcPr>
            <w:tcW w:w="22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≤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4.0</w:t>
            </w:r>
          </w:p>
        </w:tc>
        <w:tc>
          <w:tcPr>
            <w:tcW w:w="6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</w:trPr>
        <w:tc>
          <w:tcPr>
            <w:tcW w:w="72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  <w:tc>
          <w:tcPr>
            <w:tcW w:w="9111" w:type="dxa"/>
            <w:gridSpan w:val="9"/>
            <w:vAlign w:val="center"/>
          </w:tcPr>
          <w:p>
            <w:pPr>
              <w:spacing w:after="0"/>
              <w:jc w:val="both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560" w:firstLineChars="200"/>
        <w:textAlignment w:val="auto"/>
        <w:rPr>
          <w:rFonts w:hint="default" w:ascii="Times New Roman" w:hAnsi="Times New Roman" w:eastAsia="仿宋" w:cs="Times New Roman"/>
          <w:b w:val="0"/>
          <w:bCs w:val="0"/>
          <w:sz w:val="28"/>
          <w:szCs w:val="28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560" w:firstLineChars="200"/>
        <w:textAlignment w:val="auto"/>
        <w:rPr>
          <w:rFonts w:hint="default" w:ascii="Times New Roman" w:hAnsi="Times New Roman" w:eastAsia="仿宋" w:cs="Times New Roman"/>
          <w:b w:val="0"/>
          <w:bCs w:val="0"/>
          <w:sz w:val="28"/>
          <w:szCs w:val="28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560" w:firstLineChars="200"/>
        <w:textAlignment w:val="auto"/>
        <w:rPr>
          <w:rFonts w:hint="default" w:ascii="Times New Roman" w:hAnsi="Times New Roman" w:eastAsia="仿宋" w:cs="Times New Roman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 w:val="0"/>
          <w:sz w:val="28"/>
          <w:szCs w:val="28"/>
          <w:highlight w:val="none"/>
          <w:lang w:val="en-US" w:eastAsia="zh-CN"/>
        </w:rPr>
        <w:t>2、噪声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Chars="0" w:right="0" w:rightChars="0"/>
        <w:jc w:val="center"/>
        <w:textAlignment w:val="auto"/>
        <w:outlineLvl w:val="9"/>
        <w:rPr>
          <w:rFonts w:hint="default" w:ascii="Times New Roman" w:hAnsi="Times New Roman" w:eastAsia="仿宋" w:cs="Times New Roman"/>
          <w:b w:val="0"/>
          <w:bCs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表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厂界</w:t>
      </w:r>
      <w:r>
        <w:rPr>
          <w:rFonts w:hint="eastAsia" w:ascii="Times New Roman" w:hAnsi="Times New Roman" w:eastAsia="仿宋" w:cs="Times New Roman"/>
          <w:b w:val="0"/>
          <w:bCs/>
          <w:sz w:val="28"/>
          <w:szCs w:val="28"/>
          <w:highlight w:val="none"/>
          <w:lang w:val="en-US" w:eastAsia="zh-CN"/>
        </w:rPr>
        <w:t>噪声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highlight w:val="none"/>
        </w:rPr>
        <w:t>监测结果</w:t>
      </w:r>
    </w:p>
    <w:tbl>
      <w:tblPr>
        <w:tblStyle w:val="8"/>
        <w:tblW w:w="99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8"/>
        <w:gridCol w:w="1631"/>
        <w:gridCol w:w="1002"/>
        <w:gridCol w:w="994"/>
        <w:gridCol w:w="1216"/>
        <w:gridCol w:w="1217"/>
        <w:gridCol w:w="1707"/>
        <w:gridCol w:w="8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3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时间</w:t>
            </w:r>
          </w:p>
        </w:tc>
        <w:tc>
          <w:tcPr>
            <w:tcW w:w="163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点位</w:t>
            </w:r>
          </w:p>
        </w:tc>
        <w:tc>
          <w:tcPr>
            <w:tcW w:w="100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项目</w:t>
            </w:r>
          </w:p>
        </w:tc>
        <w:tc>
          <w:tcPr>
            <w:tcW w:w="99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单位</w:t>
            </w:r>
          </w:p>
        </w:tc>
        <w:tc>
          <w:tcPr>
            <w:tcW w:w="24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监测结果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执行标准号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及标准值</w:t>
            </w:r>
          </w:p>
        </w:tc>
        <w:tc>
          <w:tcPr>
            <w:tcW w:w="86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达标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3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100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9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1216" w:type="dxa"/>
            <w:tcBorders>
              <w:lef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昼间</w:t>
            </w:r>
          </w:p>
        </w:tc>
        <w:tc>
          <w:tcPr>
            <w:tcW w:w="1217" w:type="dxa"/>
            <w:tcBorders>
              <w:lef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夜间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GB12348-2008</w:t>
            </w: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</w:rPr>
              <w:t>表1</w:t>
            </w: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eastAsia="zh-CN"/>
              </w:rPr>
              <w:t>中</w:t>
            </w: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  <w:t>2类</w:t>
            </w:r>
          </w:p>
        </w:tc>
        <w:tc>
          <w:tcPr>
            <w:tcW w:w="86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3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2019.07.03</w:t>
            </w:r>
          </w:p>
        </w:tc>
        <w:tc>
          <w:tcPr>
            <w:tcW w:w="16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东厂界1#</w:t>
            </w:r>
          </w:p>
        </w:tc>
        <w:tc>
          <w:tcPr>
            <w:tcW w:w="100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Leq</w:t>
            </w:r>
          </w:p>
        </w:tc>
        <w:tc>
          <w:tcPr>
            <w:tcW w:w="99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</w:rPr>
              <w:t>dB(A)</w:t>
            </w:r>
          </w:p>
        </w:tc>
        <w:tc>
          <w:tcPr>
            <w:tcW w:w="1216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54.0</w:t>
            </w:r>
          </w:p>
        </w:tc>
        <w:tc>
          <w:tcPr>
            <w:tcW w:w="1217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44.3</w:t>
            </w:r>
          </w:p>
        </w:tc>
        <w:tc>
          <w:tcPr>
            <w:tcW w:w="170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昼间≤60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夜间≤50</w:t>
            </w:r>
          </w:p>
        </w:tc>
        <w:tc>
          <w:tcPr>
            <w:tcW w:w="8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3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南厂界2#</w:t>
            </w:r>
          </w:p>
        </w:tc>
        <w:tc>
          <w:tcPr>
            <w:tcW w:w="100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9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1216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54.3</w:t>
            </w:r>
          </w:p>
        </w:tc>
        <w:tc>
          <w:tcPr>
            <w:tcW w:w="1217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45.5</w:t>
            </w:r>
          </w:p>
        </w:tc>
        <w:tc>
          <w:tcPr>
            <w:tcW w:w="170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8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3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西厂界3#</w:t>
            </w:r>
          </w:p>
        </w:tc>
        <w:tc>
          <w:tcPr>
            <w:tcW w:w="100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9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1216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53.7</w:t>
            </w:r>
          </w:p>
        </w:tc>
        <w:tc>
          <w:tcPr>
            <w:tcW w:w="1217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45.1</w:t>
            </w:r>
          </w:p>
        </w:tc>
        <w:tc>
          <w:tcPr>
            <w:tcW w:w="170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8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3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北厂界4#</w:t>
            </w:r>
          </w:p>
        </w:tc>
        <w:tc>
          <w:tcPr>
            <w:tcW w:w="100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9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1216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54.6</w:t>
            </w:r>
          </w:p>
        </w:tc>
        <w:tc>
          <w:tcPr>
            <w:tcW w:w="1217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46.7</w:t>
            </w:r>
          </w:p>
        </w:tc>
        <w:tc>
          <w:tcPr>
            <w:tcW w:w="170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8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3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2019.07.04</w:t>
            </w:r>
          </w:p>
        </w:tc>
        <w:tc>
          <w:tcPr>
            <w:tcW w:w="16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东厂界1#</w:t>
            </w:r>
          </w:p>
        </w:tc>
        <w:tc>
          <w:tcPr>
            <w:tcW w:w="100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Leq</w:t>
            </w:r>
          </w:p>
        </w:tc>
        <w:tc>
          <w:tcPr>
            <w:tcW w:w="99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</w:rPr>
              <w:t>dB(A)</w:t>
            </w:r>
          </w:p>
        </w:tc>
        <w:tc>
          <w:tcPr>
            <w:tcW w:w="1216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53.6</w:t>
            </w:r>
          </w:p>
        </w:tc>
        <w:tc>
          <w:tcPr>
            <w:tcW w:w="1217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45.2</w:t>
            </w:r>
          </w:p>
        </w:tc>
        <w:tc>
          <w:tcPr>
            <w:tcW w:w="170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8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3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16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南厂界2#</w:t>
            </w:r>
          </w:p>
        </w:tc>
        <w:tc>
          <w:tcPr>
            <w:tcW w:w="100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9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1216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54.8</w:t>
            </w:r>
          </w:p>
        </w:tc>
        <w:tc>
          <w:tcPr>
            <w:tcW w:w="1217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44.6</w:t>
            </w:r>
          </w:p>
        </w:tc>
        <w:tc>
          <w:tcPr>
            <w:tcW w:w="170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8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3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16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西厂界3#</w:t>
            </w:r>
          </w:p>
        </w:tc>
        <w:tc>
          <w:tcPr>
            <w:tcW w:w="100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9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1216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53.5</w:t>
            </w:r>
          </w:p>
        </w:tc>
        <w:tc>
          <w:tcPr>
            <w:tcW w:w="1217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45.7</w:t>
            </w:r>
          </w:p>
        </w:tc>
        <w:tc>
          <w:tcPr>
            <w:tcW w:w="170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8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3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16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北厂界4#</w:t>
            </w:r>
          </w:p>
        </w:tc>
        <w:tc>
          <w:tcPr>
            <w:tcW w:w="100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9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1216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54.0</w:t>
            </w:r>
          </w:p>
        </w:tc>
        <w:tc>
          <w:tcPr>
            <w:tcW w:w="1217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46.1</w:t>
            </w:r>
          </w:p>
        </w:tc>
        <w:tc>
          <w:tcPr>
            <w:tcW w:w="170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8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13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eastAsia="zh-CN"/>
              </w:rPr>
              <w:t>备注</w:t>
            </w:r>
          </w:p>
        </w:tc>
        <w:tc>
          <w:tcPr>
            <w:tcW w:w="8632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</w:tr>
    </w:tbl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Chars="0" w:right="0" w:rightChars="0"/>
        <w:jc w:val="center"/>
        <w:textAlignment w:val="auto"/>
        <w:outlineLvl w:val="9"/>
        <w:rPr>
          <w:rFonts w:hint="default" w:ascii="Times New Roman" w:hAnsi="Times New Roman" w:eastAsia="仿宋" w:cs="Times New Roman"/>
          <w:b w:val="0"/>
          <w:bCs/>
          <w:sz w:val="28"/>
          <w:szCs w:val="28"/>
          <w:highlight w:val="none"/>
        </w:rPr>
      </w:pP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both"/>
        <w:textAlignment w:val="auto"/>
        <w:rPr>
          <w:rFonts w:hint="default" w:ascii="Times New Roman" w:hAnsi="Times New Roman" w:eastAsia="仿宋" w:cs="Times New Roman"/>
          <w:b/>
          <w:bCs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" w:cs="Times New Roman"/>
          <w:b/>
          <w:bCs/>
          <w:sz w:val="28"/>
          <w:szCs w:val="28"/>
          <w:highlight w:val="none"/>
          <w:lang w:val="en-US" w:eastAsia="zh-CN"/>
        </w:rPr>
        <w:t>五、监测质量控制情况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rightChars="0" w:firstLine="560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 w:val="0"/>
          <w:sz w:val="28"/>
          <w:szCs w:val="28"/>
          <w:highlight w:val="none"/>
          <w:lang w:val="en-US" w:eastAsia="zh-CN"/>
        </w:rPr>
        <w:t>1、废气监测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rightChars="0" w:firstLine="560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 w:val="0"/>
          <w:sz w:val="28"/>
          <w:szCs w:val="28"/>
          <w:highlight w:val="none"/>
          <w:lang w:val="en-US" w:eastAsia="zh-CN"/>
        </w:rPr>
        <w:t>监测期间该公司运行负荷满足75%以上工况要求，各环保设备运行正常，采样严格按照</w:t>
      </w:r>
      <w:r>
        <w:rPr>
          <w:rFonts w:hint="default" w:ascii="Times New Roman" w:hAnsi="Times New Roman" w:eastAsia="仿宋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《固定污染源废气监测技术规范》（HJ/T 397-2007）及《</w:t>
      </w:r>
      <w:r>
        <w:rPr>
          <w:rFonts w:hint="default" w:ascii="Times New Roman" w:hAnsi="Times New Roman" w:eastAsia="仿宋" w:cs="Times New Roman"/>
          <w:b w:val="0"/>
          <w:bCs w:val="0"/>
          <w:sz w:val="28"/>
          <w:szCs w:val="28"/>
          <w:highlight w:val="none"/>
          <w:lang w:val="en-US" w:eastAsia="zh-CN"/>
        </w:rPr>
        <w:t>大气污染物无组织排放监测技术导则》（HJ/T55-2000）中采样位置与采样点位要求进行测定。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rightChars="0" w:firstLine="560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 w:val="0"/>
          <w:sz w:val="28"/>
          <w:szCs w:val="28"/>
          <w:highlight w:val="none"/>
          <w:lang w:val="en-US" w:eastAsia="zh-CN"/>
        </w:rPr>
        <w:t>2、噪声监测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rightChars="0" w:firstLine="560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 w:val="0"/>
          <w:sz w:val="28"/>
          <w:szCs w:val="28"/>
          <w:highlight w:val="none"/>
          <w:lang w:val="en-US" w:eastAsia="zh-CN"/>
        </w:rPr>
        <w:t>监测过程符合《工业企业厂界环境噪声排放标准》（GB12348-2008）要求，声级计测量前后均进行了校准，且校准合格时监测数据有效。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仿宋" w:cs="Times New Roman"/>
          <w:b/>
          <w:bCs/>
          <w:sz w:val="28"/>
          <w:szCs w:val="28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rightChars="0"/>
        <w:jc w:val="left"/>
        <w:textAlignment w:val="auto"/>
        <w:outlineLvl w:val="9"/>
        <w:rPr>
          <w:rFonts w:hint="default" w:ascii="Times New Roman" w:hAnsi="Times New Roman" w:eastAsia="仿宋" w:cs="Times New Roman"/>
          <w:b/>
          <w:bCs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" w:cs="Times New Roman"/>
          <w:b/>
          <w:bCs/>
          <w:sz w:val="28"/>
          <w:szCs w:val="28"/>
          <w:highlight w:val="none"/>
          <w:lang w:val="en-US" w:eastAsia="zh-CN"/>
        </w:rPr>
        <w:t>六、监测结论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560" w:firstLineChars="200"/>
        <w:jc w:val="both"/>
        <w:textAlignment w:val="auto"/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 w:val="0"/>
          <w:sz w:val="28"/>
          <w:szCs w:val="28"/>
          <w:highlight w:val="none"/>
          <w:lang w:val="en-US" w:eastAsia="zh-CN"/>
        </w:rPr>
        <w:t>受沧州祥源塑料包装有限公司委托对项目废气、噪声进行验收检测，检测期间，该项目生产情况正常，生产工况负荷率80%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  <w:highlight w:val="none"/>
          <w:lang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（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）废气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  <w:highlight w:val="none"/>
          <w:vertAlign w:val="baseline"/>
          <w:lang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本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eastAsia="zh-CN"/>
        </w:rPr>
        <w:t>项目加热融化工序排气筒出口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非甲烷总烃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eastAsia="zh-CN"/>
        </w:rPr>
        <w:t>实测浓度最大值为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2.44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mg/m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vertAlign w:val="superscript"/>
        </w:rPr>
        <w:t>3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，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满足《工业企业挥发性有机物排放控制标准》（DB13/2322-2016）表1有机化工业标准限值及《合成树脂工业污染物排放标准》（GB31572-2015）表5大气污染物特别排放限值（非甲烷总烃≤60mg/m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vertAlign w:val="superscript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），非甲烷总烃去除效率最小值为71.3%，未满足《工业企业挥发性有机物排放控制标准》（DB13/2322-2016）表1有机化工业标准（非甲烷总烃去除效率≥90%），故加测车间外一点，车间外一点非甲烷总烃最大值为1.57mg/m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vertAlign w:val="superscript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，满足《工业企业挥发性有机物排放控制标准》（DB13/2322-2016）表3生产车间或生产设备边界大气污染物浓度限值（非甲烷总烃≤4.0mg/m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vertAlign w:val="superscript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）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vertAlign w:val="baseli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eastAsia="zh-CN"/>
        </w:rPr>
        <w:t>本项目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无组织非甲烷总烃周界外浓度最高值为1.09mg/m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vertAlign w:val="superscript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，满足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eastAsia="zh-CN"/>
        </w:rPr>
        <w:t>《工业企业挥发性有机物排放控制标准》（DB13/2322-2016）表2企业边界大气污染浓度限值要求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（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非甲烷总烃</w:t>
      </w:r>
      <w:r>
        <w:rPr>
          <w:rFonts w:hint="default" w:ascii="Times New Roman" w:hAnsi="Times New Roman" w:eastAsia="仿宋" w:cs="Times New Roman"/>
          <w:b w:val="0"/>
          <w:bCs w:val="0"/>
          <w:sz w:val="28"/>
          <w:szCs w:val="28"/>
          <w:highlight w:val="none"/>
          <w:lang w:val="en-US" w:eastAsia="zh-CN"/>
        </w:rPr>
        <w:t>≤2.0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mg/m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vertAlign w:val="superscript"/>
        </w:rPr>
        <w:t>3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）</w:t>
      </w:r>
      <w:r>
        <w:rPr>
          <w:rFonts w:hint="default" w:ascii="Times New Roman" w:hAnsi="Times New Roman" w:eastAsia="仿宋" w:cs="Times New Roman"/>
          <w:kern w:val="2"/>
          <w:sz w:val="28"/>
          <w:szCs w:val="28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eastAsia="zh-CN"/>
        </w:rPr>
        <w:t>噪声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项目厂界昼间噪声最大值为54.8dB(A)，夜间噪声最大值为46.7dB(A)，满足《工业企业厂界环境噪声排放标准》（GB12348-2008）表1中2类标准（昼间≤60dB(A)，夜间≤50dB(A)）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eastAsia" w:eastAsia="仿宋" w:cs="Times New Roman"/>
          <w:sz w:val="28"/>
          <w:szCs w:val="28"/>
          <w:lang w:eastAsia="zh-CN"/>
        </w:rPr>
        <w:t>此页以下空白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160" w:lineRule="atLeast"/>
        <w:ind w:left="0" w:leftChars="0" w:right="0" w:rightChars="0" w:firstLine="0" w:firstLineChars="0"/>
        <w:jc w:val="center"/>
        <w:textAlignment w:val="auto"/>
        <w:outlineLvl w:val="9"/>
        <w:rPr>
          <w:rFonts w:hint="eastAsia" w:eastAsia="微软雅黑"/>
          <w:lang w:val="en-US" w:eastAsia="zh-CN"/>
        </w:rPr>
      </w:pPr>
      <w:r>
        <w:drawing>
          <wp:inline distT="0" distB="0" distL="114300" distR="114300">
            <wp:extent cx="3061335" cy="2193925"/>
            <wp:effectExtent l="0" t="0" r="5715" b="1587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61335" cy="2193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2870835" cy="2191385"/>
            <wp:effectExtent l="0" t="0" r="5715" b="1841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70835" cy="21913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 xml:space="preserve">         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2019.0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7.03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 xml:space="preserve">               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 xml:space="preserve">      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2019.0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7.04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图例：</w:t>
      </w:r>
      <w:r>
        <w:rPr>
          <w:rFonts w:hint="default" w:ascii="Times New Roman" w:hAnsi="Times New Roman" w:eastAsia="仿宋" w:cs="Times New Roman"/>
          <w:sz w:val="28"/>
          <w:szCs w:val="28"/>
        </w:rPr>
        <w:drawing>
          <wp:inline distT="0" distB="0" distL="114300" distR="114300">
            <wp:extent cx="171450" cy="220345"/>
            <wp:effectExtent l="0" t="0" r="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2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废气监测点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eastAsia="仿宋" w:cs="Times New Roman"/>
          <w:sz w:val="28"/>
          <w:szCs w:val="28"/>
        </w:rPr>
        <w:drawing>
          <wp:inline distT="0" distB="0" distL="114300" distR="114300">
            <wp:extent cx="189230" cy="162560"/>
            <wp:effectExtent l="0" t="0" r="1270" b="889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9230" cy="16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噪声监测点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仿宋" w:hAnsi="仿宋" w:eastAsia="仿宋" w:cs="仿宋"/>
          <w:b w:val="0"/>
          <w:bCs/>
          <w:sz w:val="36"/>
          <w:highlight w:val="none"/>
        </w:rPr>
      </w:pPr>
      <w:r>
        <w:rPr>
          <w:rFonts w:hint="eastAsia" w:ascii="仿宋" w:hAnsi="仿宋" w:eastAsia="仿宋" w:cs="仿宋"/>
          <w:b w:val="0"/>
          <w:bCs/>
          <w:sz w:val="36"/>
          <w:highlight w:val="none"/>
        </w:rPr>
        <w:t>检测点位示意图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  <w:t>--</w:t>
      </w: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eastAsia="zh-CN"/>
        </w:rPr>
        <w:t>以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eastAsia="zh-CN"/>
        </w:rPr>
        <w:t>下空白</w:t>
      </w: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  <w:t>--</w:t>
      </w:r>
    </w:p>
    <w:sectPr>
      <w:headerReference r:id="rId7" w:type="default"/>
      <w:pgSz w:w="11906" w:h="16838"/>
      <w:pgMar w:top="1417" w:right="1134" w:bottom="1417" w:left="1134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napToGrid w:val="0"/>
      <w:jc w:val="left"/>
      <w:rPr>
        <w:rFonts w:hint="eastAsia" w:ascii="Times New Roman" w:hAnsi="Times New Roman" w:eastAsia="宋体" w:cs="Times New Roman"/>
        <w:kern w:val="2"/>
        <w:sz w:val="18"/>
        <w:szCs w:val="18"/>
        <w:lang w:val="en-US" w:eastAsia="zh-CN" w:bidi="ar-SA"/>
      </w:rPr>
    </w:pPr>
  </w:p>
  <w:p>
    <w:pPr>
      <w:widowControl w:val="0"/>
      <w:snapToGrid w:val="0"/>
      <w:jc w:val="left"/>
      <w:rPr>
        <w:rFonts w:hint="eastAsia" w:ascii="Times New Roman" w:hAnsi="Times New Roman" w:eastAsia="宋体" w:cs="Times New Roman"/>
        <w:kern w:val="2"/>
        <w:sz w:val="18"/>
        <w:szCs w:val="18"/>
        <w:lang w:val="en-US" w:eastAsia="zh-CN" w:bidi="ar-SA"/>
      </w:rPr>
    </w:pPr>
  </w:p>
  <w:p>
    <w:pPr>
      <w:widowControl w:val="0"/>
      <w:snapToGrid w:val="0"/>
      <w:jc w:val="left"/>
      <w:rPr>
        <w:rFonts w:hint="eastAsia" w:ascii="Times New Roman" w:hAnsi="Times New Roman" w:eastAsia="宋体" w:cs="Times New Roman"/>
        <w:kern w:val="2"/>
        <w:sz w:val="18"/>
        <w:szCs w:val="18"/>
        <w:lang w:val="en-US" w:eastAsia="zh-CN" w:bidi="ar-S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napToGrid w:val="0"/>
      <w:jc w:val="left"/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</w:pP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pict>
        <v:shape id="Picture 1" o:spid="_x0000_s4097" o:spt="75" type="#_x0000_t75" style="position:absolute;left:0pt;margin-left:76.55pt;margin-top:779.65pt;height:36.85pt;width:141.7pt;mso-position-horizontal-relative:page;mso-position-vertical-relative:page;mso-wrap-distance-left:9pt;mso-wrap-distance-right:9pt;z-index:251658240;mso-width-relative:page;mso-height-relative:page;" o:ole="t" filled="f" o:preferrelative="t" stroked="f" coordsize="21600,21600">
          <v:path/>
          <v:fill on="f" focussize="0,0"/>
          <v:stroke on="f"/>
          <v:imagedata r:id="rId2" o:title=""/>
          <o:lock v:ext="edit" grouping="f" rotation="f" text="f" aspectratio="f"/>
          <w10:wrap type="tight"/>
        </v:shape>
        <o:OLEObject Type="Embed" ProgID="" ShapeID="Picture 1" DrawAspect="Content" ObjectID="_1468075725" r:id="rId1">
          <o:LockedField>false</o:LockedField>
        </o:OLEObject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/>
      <w:spacing w:line="240" w:lineRule="auto"/>
      <w:ind w:firstLine="210" w:firstLineChars="100"/>
      <w:jc w:val="left"/>
      <w:textAlignment w:val="aut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single" w:color="auto" w:sz="6" w:space="1"/>
      </w:pBdr>
      <w:snapToGrid w:val="0"/>
      <w:jc w:val="center"/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bottom w:val="single" w:color="auto" w:sz="4" w:space="0"/>
      </w:pBdr>
      <w:kinsoku/>
      <w:wordWrap/>
      <w:overflowPunct/>
      <w:topLinePunct w:val="0"/>
      <w:autoSpaceDE/>
      <w:autoSpaceDN/>
      <w:bidi w:val="0"/>
      <w:adjustRightInd/>
      <w:snapToGrid/>
      <w:spacing w:line="240" w:lineRule="auto"/>
      <w:ind w:firstLine="210" w:firstLineChars="100"/>
      <w:jc w:val="left"/>
      <w:textAlignment w:val="auto"/>
      <w:rPr>
        <w:rFonts w:hint="default" w:ascii="Times New Roman" w:hAnsi="Times New Roman" w:cs="Times New Roman" w:eastAsiaTheme="minorEastAsia"/>
        <w:sz w:val="21"/>
        <w:szCs w:val="21"/>
        <w:lang w:val="en-US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pBdr>
                              <w:top w:val="none" w:color="auto" w:sz="0" w:space="0"/>
                              <w:left w:val="none" w:color="auto" w:sz="0" w:space="0"/>
                              <w:bottom w:val="none" w:color="auto" w:sz="0" w:space="1"/>
                              <w:right w:val="none" w:color="auto" w:sz="0" w:space="0"/>
                              <w:between w:val="none" w:color="auto" w:sz="0" w:space="0"/>
                            </w:pBdr>
                            <w:rPr>
                              <w:rFonts w:hint="default" w:ascii="Times New Roman" w:hAnsi="Times New Roman" w:eastAsia="宋体" w:cs="Times New Roman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eastAsia="宋体" w:cs="Times New Roman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lang w:eastAsia="zh-CN"/>
                            </w:rPr>
                            <w:t>3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lang w:eastAsia="zh-CN"/>
                            </w:rPr>
                            <w:t xml:space="preserve"> 页 共</w:t>
                          </w:r>
                          <w:r>
                            <w:rPr>
                              <w:rFonts w:hint="eastAsia" w:cs="Times New Roman"/>
                              <w:lang w:val="en-US" w:eastAsia="zh-CN"/>
                            </w:rPr>
                            <w:t xml:space="preserve"> 7 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lang w:eastAsia="zh-CN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QmRUUAgAAEwQAAA4AAABkcnMvZTJvRG9jLnhtbK1TTY7TMBTeI3EH&#10;y3uatKi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9fT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XtCZFR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pBdr>
                        <w:top w:val="none" w:color="auto" w:sz="0" w:space="0"/>
                        <w:left w:val="none" w:color="auto" w:sz="0" w:space="0"/>
                        <w:bottom w:val="none" w:color="auto" w:sz="0" w:space="1"/>
                        <w:right w:val="none" w:color="auto" w:sz="0" w:space="0"/>
                        <w:between w:val="none" w:color="auto" w:sz="0" w:space="0"/>
                      </w:pBdr>
                      <w:rPr>
                        <w:rFonts w:hint="default" w:ascii="Times New Roman" w:hAnsi="Times New Roman" w:eastAsia="宋体" w:cs="Times New Roman"/>
                        <w:lang w:eastAsia="zh-CN"/>
                      </w:rPr>
                    </w:pPr>
                    <w:r>
                      <w:rPr>
                        <w:rFonts w:hint="default" w:ascii="Times New Roman" w:hAnsi="Times New Roman" w:eastAsia="宋体" w:cs="Times New Roman"/>
                        <w:lang w:eastAsia="zh-CN"/>
                      </w:rPr>
                      <w:t xml:space="preserve">第 </w:t>
                    </w:r>
                    <w:r>
                      <w:rPr>
                        <w:rFonts w:hint="default" w:ascii="Times New Roman" w:hAnsi="Times New Roman" w:eastAsia="宋体" w:cs="Times New Roman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宋体" w:cs="Times New Roman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宋体" w:cs="Times New Roman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宋体" w:cs="Times New Roman"/>
                        <w:lang w:eastAsia="zh-CN"/>
                      </w:rPr>
                      <w:t>3</w:t>
                    </w:r>
                    <w:r>
                      <w:rPr>
                        <w:rFonts w:hint="default" w:ascii="Times New Roman" w:hAnsi="Times New Roman" w:eastAsia="宋体" w:cs="Times New Roman"/>
                        <w:lang w:eastAsia="zh-CN"/>
                      </w:rPr>
                      <w:fldChar w:fldCharType="end"/>
                    </w:r>
                    <w:r>
                      <w:rPr>
                        <w:rFonts w:hint="default" w:ascii="Times New Roman" w:hAnsi="Times New Roman" w:eastAsia="宋体" w:cs="Times New Roman"/>
                        <w:lang w:eastAsia="zh-CN"/>
                      </w:rPr>
                      <w:t xml:space="preserve"> 页 共</w:t>
                    </w:r>
                    <w:r>
                      <w:rPr>
                        <w:rFonts w:hint="eastAsia" w:cs="Times New Roman"/>
                        <w:lang w:val="en-US" w:eastAsia="zh-CN"/>
                      </w:rPr>
                      <w:t xml:space="preserve"> 7 </w:t>
                    </w:r>
                    <w:r>
                      <w:rPr>
                        <w:rFonts w:hint="default" w:ascii="Times New Roman" w:hAnsi="Times New Roman" w:eastAsia="宋体" w:cs="Times New Roman"/>
                        <w:lang w:eastAsia="zh-CN"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default" w:ascii="Times New Roman" w:hAnsi="Times New Roman" w:cs="Times New Roman" w:eastAsiaTheme="minorEastAsia"/>
        <w:sz w:val="21"/>
        <w:szCs w:val="21"/>
        <w:lang w:eastAsia="zh-CN"/>
      </w:rPr>
      <w:t>盈通（检）字HBYT11YS20190</w:t>
    </w:r>
    <w:r>
      <w:rPr>
        <w:rFonts w:hint="eastAsia" w:cs="Times New Roman" w:eastAsiaTheme="minorEastAsia"/>
        <w:sz w:val="21"/>
        <w:szCs w:val="21"/>
        <w:lang w:val="en-US" w:eastAsia="zh-CN"/>
      </w:rPr>
      <w:t>7</w:t>
    </w:r>
    <w:r>
      <w:rPr>
        <w:rFonts w:hint="default" w:ascii="Times New Roman" w:hAnsi="Times New Roman" w:cs="Times New Roman" w:eastAsiaTheme="minorEastAsia"/>
        <w:sz w:val="21"/>
        <w:szCs w:val="21"/>
        <w:lang w:eastAsia="zh-CN"/>
      </w:rPr>
      <w:t>-</w:t>
    </w:r>
    <w:r>
      <w:rPr>
        <w:rFonts w:hint="eastAsia" w:cs="Times New Roman" w:eastAsiaTheme="minorEastAsia"/>
        <w:sz w:val="21"/>
        <w:szCs w:val="21"/>
        <w:lang w:val="en-US" w:eastAsia="zh-CN"/>
      </w:rPr>
      <w:t>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26FA83F"/>
    <w:multiLevelType w:val="singleLevel"/>
    <w:tmpl w:val="F26FA83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B35B6E"/>
    <w:rsid w:val="004C44A1"/>
    <w:rsid w:val="00682504"/>
    <w:rsid w:val="007B224C"/>
    <w:rsid w:val="00D774D5"/>
    <w:rsid w:val="01017468"/>
    <w:rsid w:val="02B77C2C"/>
    <w:rsid w:val="02CC03AF"/>
    <w:rsid w:val="02EF1BB5"/>
    <w:rsid w:val="037E751B"/>
    <w:rsid w:val="03887888"/>
    <w:rsid w:val="03DD6A56"/>
    <w:rsid w:val="03F50BF4"/>
    <w:rsid w:val="061734CA"/>
    <w:rsid w:val="06B75346"/>
    <w:rsid w:val="06B93D84"/>
    <w:rsid w:val="06C9160D"/>
    <w:rsid w:val="0756796F"/>
    <w:rsid w:val="079417DD"/>
    <w:rsid w:val="07AC186B"/>
    <w:rsid w:val="08993C3F"/>
    <w:rsid w:val="09711852"/>
    <w:rsid w:val="0A18029E"/>
    <w:rsid w:val="0A7759B0"/>
    <w:rsid w:val="0A7B3E63"/>
    <w:rsid w:val="0B2623ED"/>
    <w:rsid w:val="0B416256"/>
    <w:rsid w:val="0B5F14C5"/>
    <w:rsid w:val="0B764864"/>
    <w:rsid w:val="0C3B6DF0"/>
    <w:rsid w:val="0C4A64B0"/>
    <w:rsid w:val="0C9E0578"/>
    <w:rsid w:val="0CB4004E"/>
    <w:rsid w:val="0CCF211F"/>
    <w:rsid w:val="0CD82022"/>
    <w:rsid w:val="0CF71EC5"/>
    <w:rsid w:val="0CFE6CCF"/>
    <w:rsid w:val="0D370DDC"/>
    <w:rsid w:val="0D5C4F27"/>
    <w:rsid w:val="0DBC5580"/>
    <w:rsid w:val="0DCA0382"/>
    <w:rsid w:val="0E4371FF"/>
    <w:rsid w:val="0E4F3AA5"/>
    <w:rsid w:val="0EDB3446"/>
    <w:rsid w:val="0F506562"/>
    <w:rsid w:val="0FBE236D"/>
    <w:rsid w:val="0FC2452F"/>
    <w:rsid w:val="10C94FE0"/>
    <w:rsid w:val="11DC2C42"/>
    <w:rsid w:val="12B35B6E"/>
    <w:rsid w:val="134F4150"/>
    <w:rsid w:val="13D9289C"/>
    <w:rsid w:val="148A471F"/>
    <w:rsid w:val="14D472E9"/>
    <w:rsid w:val="15213EEE"/>
    <w:rsid w:val="158362DF"/>
    <w:rsid w:val="15C26838"/>
    <w:rsid w:val="163E7386"/>
    <w:rsid w:val="16523ED5"/>
    <w:rsid w:val="165E44D6"/>
    <w:rsid w:val="16CD2D54"/>
    <w:rsid w:val="17055FE7"/>
    <w:rsid w:val="177E2233"/>
    <w:rsid w:val="1786591F"/>
    <w:rsid w:val="17985473"/>
    <w:rsid w:val="17A73493"/>
    <w:rsid w:val="17EB1EED"/>
    <w:rsid w:val="17FE01E1"/>
    <w:rsid w:val="181B0C1B"/>
    <w:rsid w:val="18403893"/>
    <w:rsid w:val="18484DAB"/>
    <w:rsid w:val="186859C7"/>
    <w:rsid w:val="18934A12"/>
    <w:rsid w:val="18B02EDE"/>
    <w:rsid w:val="18BB3CEA"/>
    <w:rsid w:val="195A2DC8"/>
    <w:rsid w:val="196C2546"/>
    <w:rsid w:val="196E257C"/>
    <w:rsid w:val="1A047D82"/>
    <w:rsid w:val="1A86652D"/>
    <w:rsid w:val="1A9A1F97"/>
    <w:rsid w:val="1AAC0FD1"/>
    <w:rsid w:val="1AFA1E5C"/>
    <w:rsid w:val="1B333349"/>
    <w:rsid w:val="1B564613"/>
    <w:rsid w:val="1BBC79B2"/>
    <w:rsid w:val="1C5757B7"/>
    <w:rsid w:val="1C626DBE"/>
    <w:rsid w:val="1C705E45"/>
    <w:rsid w:val="1D4D39A0"/>
    <w:rsid w:val="1D8D1E31"/>
    <w:rsid w:val="1DAA6524"/>
    <w:rsid w:val="1DC64793"/>
    <w:rsid w:val="1F0319E7"/>
    <w:rsid w:val="1F16265A"/>
    <w:rsid w:val="1FC01EEF"/>
    <w:rsid w:val="1FC82761"/>
    <w:rsid w:val="1FFF4112"/>
    <w:rsid w:val="20A46853"/>
    <w:rsid w:val="20BC2CC2"/>
    <w:rsid w:val="210A55B8"/>
    <w:rsid w:val="217B6A7A"/>
    <w:rsid w:val="21B90902"/>
    <w:rsid w:val="21C358DE"/>
    <w:rsid w:val="21C92F55"/>
    <w:rsid w:val="2284187E"/>
    <w:rsid w:val="229C7798"/>
    <w:rsid w:val="22B55B33"/>
    <w:rsid w:val="22FD62D5"/>
    <w:rsid w:val="23225CD9"/>
    <w:rsid w:val="23235F08"/>
    <w:rsid w:val="242E6EE7"/>
    <w:rsid w:val="250E7075"/>
    <w:rsid w:val="25832DDD"/>
    <w:rsid w:val="25A43257"/>
    <w:rsid w:val="26091510"/>
    <w:rsid w:val="261159BF"/>
    <w:rsid w:val="261C1112"/>
    <w:rsid w:val="269D6464"/>
    <w:rsid w:val="269E7FB1"/>
    <w:rsid w:val="26B21CCF"/>
    <w:rsid w:val="26CC6126"/>
    <w:rsid w:val="27922DEC"/>
    <w:rsid w:val="27940171"/>
    <w:rsid w:val="27AB04FF"/>
    <w:rsid w:val="27D32EAE"/>
    <w:rsid w:val="27FE6E8C"/>
    <w:rsid w:val="29F860C8"/>
    <w:rsid w:val="2A67211C"/>
    <w:rsid w:val="2A692C96"/>
    <w:rsid w:val="2B234FE2"/>
    <w:rsid w:val="2B4046B9"/>
    <w:rsid w:val="2B9C058F"/>
    <w:rsid w:val="2BE1676F"/>
    <w:rsid w:val="2C8C170B"/>
    <w:rsid w:val="2D3241AA"/>
    <w:rsid w:val="2D775E52"/>
    <w:rsid w:val="2DF003DA"/>
    <w:rsid w:val="2E8F0726"/>
    <w:rsid w:val="2F063B83"/>
    <w:rsid w:val="2F11696F"/>
    <w:rsid w:val="2F3210EE"/>
    <w:rsid w:val="2F497C77"/>
    <w:rsid w:val="305D7A04"/>
    <w:rsid w:val="3081389E"/>
    <w:rsid w:val="31D336CA"/>
    <w:rsid w:val="31E54BD1"/>
    <w:rsid w:val="321209AC"/>
    <w:rsid w:val="3217610F"/>
    <w:rsid w:val="32686F0B"/>
    <w:rsid w:val="32E91BE4"/>
    <w:rsid w:val="33B52146"/>
    <w:rsid w:val="33E64A34"/>
    <w:rsid w:val="34523EF7"/>
    <w:rsid w:val="34C52834"/>
    <w:rsid w:val="350B46C2"/>
    <w:rsid w:val="357A1900"/>
    <w:rsid w:val="35EE6498"/>
    <w:rsid w:val="364B6D06"/>
    <w:rsid w:val="36AE3DB2"/>
    <w:rsid w:val="3702317E"/>
    <w:rsid w:val="37C36F60"/>
    <w:rsid w:val="38352736"/>
    <w:rsid w:val="3848138C"/>
    <w:rsid w:val="386F3B0C"/>
    <w:rsid w:val="387D02AF"/>
    <w:rsid w:val="38C97CD4"/>
    <w:rsid w:val="390F7A63"/>
    <w:rsid w:val="3A956629"/>
    <w:rsid w:val="3B8801ED"/>
    <w:rsid w:val="3BD219AB"/>
    <w:rsid w:val="3BD6784D"/>
    <w:rsid w:val="3C324772"/>
    <w:rsid w:val="3C6063FB"/>
    <w:rsid w:val="3D0C1F1A"/>
    <w:rsid w:val="3D3D18E3"/>
    <w:rsid w:val="3D4739BC"/>
    <w:rsid w:val="3DEA743A"/>
    <w:rsid w:val="3E011929"/>
    <w:rsid w:val="3E0D1035"/>
    <w:rsid w:val="3E403C81"/>
    <w:rsid w:val="3ECE3A7D"/>
    <w:rsid w:val="3EF23003"/>
    <w:rsid w:val="3F044837"/>
    <w:rsid w:val="3F1F3412"/>
    <w:rsid w:val="3F2C50A7"/>
    <w:rsid w:val="3F2F6E86"/>
    <w:rsid w:val="415E1498"/>
    <w:rsid w:val="41C247C0"/>
    <w:rsid w:val="41CE2562"/>
    <w:rsid w:val="41CF61FB"/>
    <w:rsid w:val="42854612"/>
    <w:rsid w:val="42A8299F"/>
    <w:rsid w:val="42AE2ED9"/>
    <w:rsid w:val="435A630F"/>
    <w:rsid w:val="43862EC3"/>
    <w:rsid w:val="45692F33"/>
    <w:rsid w:val="457E5520"/>
    <w:rsid w:val="45F92F09"/>
    <w:rsid w:val="45FC4F3D"/>
    <w:rsid w:val="461C209C"/>
    <w:rsid w:val="46C113BD"/>
    <w:rsid w:val="46F8540B"/>
    <w:rsid w:val="46FA4FEC"/>
    <w:rsid w:val="47293CA1"/>
    <w:rsid w:val="47437002"/>
    <w:rsid w:val="479A644B"/>
    <w:rsid w:val="47A01533"/>
    <w:rsid w:val="47DF4E9B"/>
    <w:rsid w:val="486F0152"/>
    <w:rsid w:val="48767ECA"/>
    <w:rsid w:val="48AF4732"/>
    <w:rsid w:val="48C4771C"/>
    <w:rsid w:val="49405D63"/>
    <w:rsid w:val="49432040"/>
    <w:rsid w:val="49432F0B"/>
    <w:rsid w:val="49B067A6"/>
    <w:rsid w:val="4A1C2F01"/>
    <w:rsid w:val="4A7C07B2"/>
    <w:rsid w:val="4AA20AE1"/>
    <w:rsid w:val="4ACE0806"/>
    <w:rsid w:val="4B0931F2"/>
    <w:rsid w:val="4B89533E"/>
    <w:rsid w:val="4C8E07DB"/>
    <w:rsid w:val="4D267635"/>
    <w:rsid w:val="4E0D0FA2"/>
    <w:rsid w:val="4E1F7DDA"/>
    <w:rsid w:val="4EA92008"/>
    <w:rsid w:val="4F192093"/>
    <w:rsid w:val="4FA74057"/>
    <w:rsid w:val="4FC60F6D"/>
    <w:rsid w:val="4FCF1695"/>
    <w:rsid w:val="4FD86A39"/>
    <w:rsid w:val="4FE52BF9"/>
    <w:rsid w:val="505269ED"/>
    <w:rsid w:val="50675B5F"/>
    <w:rsid w:val="51021013"/>
    <w:rsid w:val="51E76807"/>
    <w:rsid w:val="52076D06"/>
    <w:rsid w:val="523A0C18"/>
    <w:rsid w:val="524E1293"/>
    <w:rsid w:val="52A320E9"/>
    <w:rsid w:val="530A15D5"/>
    <w:rsid w:val="5363325D"/>
    <w:rsid w:val="5377023A"/>
    <w:rsid w:val="53BC394B"/>
    <w:rsid w:val="53E67E22"/>
    <w:rsid w:val="5442430C"/>
    <w:rsid w:val="54707DA1"/>
    <w:rsid w:val="5506595A"/>
    <w:rsid w:val="55162134"/>
    <w:rsid w:val="55280F8E"/>
    <w:rsid w:val="55853732"/>
    <w:rsid w:val="564347A3"/>
    <w:rsid w:val="56454B3D"/>
    <w:rsid w:val="56552A38"/>
    <w:rsid w:val="56DF0FF4"/>
    <w:rsid w:val="56F1267B"/>
    <w:rsid w:val="575069AE"/>
    <w:rsid w:val="57AB282A"/>
    <w:rsid w:val="57E57F11"/>
    <w:rsid w:val="580241C7"/>
    <w:rsid w:val="582E6334"/>
    <w:rsid w:val="58522FF8"/>
    <w:rsid w:val="59621583"/>
    <w:rsid w:val="59706DA8"/>
    <w:rsid w:val="5981019B"/>
    <w:rsid w:val="59C7505E"/>
    <w:rsid w:val="59D43589"/>
    <w:rsid w:val="5AA23FC0"/>
    <w:rsid w:val="5AB777B8"/>
    <w:rsid w:val="5B574191"/>
    <w:rsid w:val="5BD63C69"/>
    <w:rsid w:val="5C0477D7"/>
    <w:rsid w:val="5C612E59"/>
    <w:rsid w:val="5C7A03C3"/>
    <w:rsid w:val="5C9166F5"/>
    <w:rsid w:val="5CC5657B"/>
    <w:rsid w:val="5DD36BB8"/>
    <w:rsid w:val="5ECF22CC"/>
    <w:rsid w:val="5F3E44A2"/>
    <w:rsid w:val="5FF33EE7"/>
    <w:rsid w:val="603C031C"/>
    <w:rsid w:val="60807C7F"/>
    <w:rsid w:val="60DA0B34"/>
    <w:rsid w:val="628C7CAB"/>
    <w:rsid w:val="62B878B9"/>
    <w:rsid w:val="62E03497"/>
    <w:rsid w:val="639A4115"/>
    <w:rsid w:val="63A80287"/>
    <w:rsid w:val="63B4120D"/>
    <w:rsid w:val="63C35DEE"/>
    <w:rsid w:val="63C672B0"/>
    <w:rsid w:val="63CC304A"/>
    <w:rsid w:val="63DD0574"/>
    <w:rsid w:val="64067BB6"/>
    <w:rsid w:val="64117171"/>
    <w:rsid w:val="64663CBD"/>
    <w:rsid w:val="64A51566"/>
    <w:rsid w:val="6557536F"/>
    <w:rsid w:val="65D74C3B"/>
    <w:rsid w:val="65E26F54"/>
    <w:rsid w:val="66AD0CA6"/>
    <w:rsid w:val="66BC309A"/>
    <w:rsid w:val="66E0030F"/>
    <w:rsid w:val="66FC5C81"/>
    <w:rsid w:val="67914C7E"/>
    <w:rsid w:val="67B12497"/>
    <w:rsid w:val="67B33B52"/>
    <w:rsid w:val="67F40E23"/>
    <w:rsid w:val="6827270C"/>
    <w:rsid w:val="6856228F"/>
    <w:rsid w:val="699B1F24"/>
    <w:rsid w:val="69FD4C03"/>
    <w:rsid w:val="6A7174A2"/>
    <w:rsid w:val="6A9321B9"/>
    <w:rsid w:val="6ABA716E"/>
    <w:rsid w:val="6BD17641"/>
    <w:rsid w:val="6C073D5E"/>
    <w:rsid w:val="6C682186"/>
    <w:rsid w:val="6D1E2E7A"/>
    <w:rsid w:val="6D37622B"/>
    <w:rsid w:val="6D711357"/>
    <w:rsid w:val="6D8903F0"/>
    <w:rsid w:val="6D8E443B"/>
    <w:rsid w:val="6D8F2968"/>
    <w:rsid w:val="6E1A7EE0"/>
    <w:rsid w:val="6E434CA0"/>
    <w:rsid w:val="6E661B25"/>
    <w:rsid w:val="6EE26626"/>
    <w:rsid w:val="6EEA5119"/>
    <w:rsid w:val="6EF47490"/>
    <w:rsid w:val="6F0C3BD0"/>
    <w:rsid w:val="6FAE2B8F"/>
    <w:rsid w:val="6FEE46D0"/>
    <w:rsid w:val="704A6553"/>
    <w:rsid w:val="70817620"/>
    <w:rsid w:val="70C75D04"/>
    <w:rsid w:val="71391025"/>
    <w:rsid w:val="71C452AC"/>
    <w:rsid w:val="71FD47B5"/>
    <w:rsid w:val="71FF6546"/>
    <w:rsid w:val="720A3424"/>
    <w:rsid w:val="7343555E"/>
    <w:rsid w:val="73D820A8"/>
    <w:rsid w:val="73E96982"/>
    <w:rsid w:val="740D7893"/>
    <w:rsid w:val="743443CA"/>
    <w:rsid w:val="74582D14"/>
    <w:rsid w:val="746B0C8A"/>
    <w:rsid w:val="753914E1"/>
    <w:rsid w:val="75EB4754"/>
    <w:rsid w:val="760229CF"/>
    <w:rsid w:val="76136353"/>
    <w:rsid w:val="766A7995"/>
    <w:rsid w:val="76B36CEF"/>
    <w:rsid w:val="76E7590E"/>
    <w:rsid w:val="772919CB"/>
    <w:rsid w:val="774C08A3"/>
    <w:rsid w:val="77644BCB"/>
    <w:rsid w:val="7773455B"/>
    <w:rsid w:val="78183AB7"/>
    <w:rsid w:val="78323673"/>
    <w:rsid w:val="788D21AD"/>
    <w:rsid w:val="78A44DA8"/>
    <w:rsid w:val="78D4157B"/>
    <w:rsid w:val="78DC56A4"/>
    <w:rsid w:val="7907751A"/>
    <w:rsid w:val="79601289"/>
    <w:rsid w:val="797F22A5"/>
    <w:rsid w:val="7A0E117C"/>
    <w:rsid w:val="7A5C70AE"/>
    <w:rsid w:val="7B636F0A"/>
    <w:rsid w:val="7B7172E7"/>
    <w:rsid w:val="7BCE2BE7"/>
    <w:rsid w:val="7BE752D9"/>
    <w:rsid w:val="7C953391"/>
    <w:rsid w:val="7CA464C0"/>
    <w:rsid w:val="7CD15C2A"/>
    <w:rsid w:val="7D1A1615"/>
    <w:rsid w:val="7D972477"/>
    <w:rsid w:val="7DF84513"/>
    <w:rsid w:val="7E024DA8"/>
    <w:rsid w:val="7E87677F"/>
    <w:rsid w:val="7EF03EA4"/>
    <w:rsid w:val="7EF77B50"/>
    <w:rsid w:val="7F037C4D"/>
    <w:rsid w:val="7F317AF9"/>
    <w:rsid w:val="7F6A2DC3"/>
    <w:rsid w:val="7FB44F67"/>
    <w:rsid w:val="7FD90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00" w:lineRule="exact"/>
      <w:ind w:firstLine="0" w:firstLineChars="0"/>
      <w:outlineLvl w:val="3"/>
    </w:pPr>
    <w:rPr>
      <w:rFonts w:ascii="Arial" w:hAnsi="Arial" w:eastAsia="宋体" w:cs="宋体"/>
      <w:b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unhideWhenUsed/>
    <w:qFormat/>
    <w:uiPriority w:val="99"/>
    <w:pPr>
      <w:ind w:firstLine="420"/>
    </w:pPr>
    <w:rPr>
      <w:sz w:val="24"/>
      <w:szCs w:val="20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wmf"/><Relationship Id="rId1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2019-03-26T07:19:00Z</dcterms:created>
  <dc:creator>暖意 °</dc:creator>
  <cp:lastModifiedBy>Administrator</cp:lastModifiedBy>
  <dcterms:modified xsi:type="dcterms:W3CDTF">2019-07-15T07:49:15Z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